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ind w:firstLine="0" w:firstLineChars="0"/>
        <w:jc w:val="center"/>
        <w:outlineLvl w:val="0"/>
        <w:rPr>
          <w:rFonts w:hint="eastAsia" w:ascii="仿宋" w:hAnsi="仿宋" w:eastAsia="仿宋" w:cs="仿宋"/>
          <w:b/>
          <w:bCs/>
          <w:sz w:val="36"/>
          <w:szCs w:val="36"/>
        </w:rPr>
      </w:pPr>
      <w:r>
        <w:rPr>
          <w:rFonts w:hint="eastAsia" w:cs="仿宋"/>
          <w:b/>
          <w:bCs/>
          <w:sz w:val="36"/>
          <w:szCs w:val="36"/>
          <w:lang w:eastAsia="zh-CN"/>
        </w:rPr>
        <w:t>蓉北高铁物流园项目</w:t>
      </w:r>
      <w:r>
        <w:rPr>
          <w:rFonts w:hint="eastAsia" w:ascii="仿宋" w:hAnsi="仿宋" w:eastAsia="仿宋" w:cs="仿宋"/>
          <w:b/>
          <w:bCs/>
          <w:sz w:val="36"/>
          <w:szCs w:val="36"/>
        </w:rPr>
        <w:t>情况</w:t>
      </w:r>
    </w:p>
    <w:p>
      <w:pPr>
        <w:snapToGrid w:val="0"/>
        <w:spacing w:beforeLines="10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一、项目基本情况</w:t>
      </w:r>
    </w:p>
    <w:p>
      <w:pPr>
        <w:ind w:firstLine="643"/>
        <w:outlineLvl w:val="1"/>
        <w:rPr>
          <w:rFonts w:hint="eastAsia" w:ascii="仿宋" w:hAnsi="仿宋" w:eastAsia="仿宋" w:cs="仿宋"/>
          <w:b/>
          <w:sz w:val="28"/>
          <w:szCs w:val="28"/>
        </w:rPr>
      </w:pPr>
      <w:r>
        <w:rPr>
          <w:rFonts w:hint="eastAsia" w:ascii="仿宋" w:hAnsi="仿宋" w:eastAsia="仿宋" w:cs="仿宋"/>
          <w:b/>
          <w:sz w:val="28"/>
          <w:szCs w:val="28"/>
        </w:rPr>
        <w:t>（一）市县及行业专项规划概况</w:t>
      </w:r>
    </w:p>
    <w:p>
      <w:pPr>
        <w:ind w:firstLine="640"/>
        <w:outlineLvl w:val="1"/>
        <w:rPr>
          <w:rFonts w:hint="eastAsia" w:ascii="仿宋" w:hAnsi="仿宋" w:eastAsia="仿宋" w:cs="仿宋"/>
          <w:sz w:val="28"/>
          <w:szCs w:val="28"/>
        </w:rPr>
      </w:pPr>
      <w:r>
        <w:rPr>
          <w:rFonts w:hint="eastAsia" w:ascii="仿宋" w:hAnsi="仿宋" w:eastAsia="仿宋" w:cs="仿宋"/>
          <w:sz w:val="28"/>
          <w:szCs w:val="28"/>
        </w:rPr>
        <w:t>（1）</w:t>
      </w:r>
      <w:r>
        <w:rPr>
          <w:rFonts w:hint="eastAsia" w:cs="仿宋"/>
          <w:sz w:val="28"/>
          <w:szCs w:val="28"/>
          <w:lang w:val="en-US" w:eastAsia="zh-CN"/>
        </w:rPr>
        <w:t>德阳市</w:t>
      </w:r>
      <w:r>
        <w:rPr>
          <w:rFonts w:hint="eastAsia" w:ascii="仿宋" w:hAnsi="仿宋" w:eastAsia="仿宋" w:cs="仿宋"/>
          <w:sz w:val="28"/>
          <w:szCs w:val="28"/>
        </w:rPr>
        <w:t>行业规划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成德同城化进程奠定基础，加快成徳区域交通一体化进程，构建成（都）德（阳）组合型主枢纽，实现北接绵阳，达到东西贯通，共享区域内重要交通设施，充分利用区域各类优势交通资源，为提升德阳交通区位优势创造条件。完善区域内部交通运输干线，优化配置三大主体功能区3交通资源，支撑和引导城慎空间布局和促进产业集聚发展.全面适应城市化、工业化带来的交通运输需求，加快市域城市（镇）群交通一体化进程。加快推进城乡交通一体化，促进城乡统筹发展和公共交通服务均等化，呼应德阳城乡综合改革配套试验区建设。推进综合交通枢纽体系建设，优化公、铁、水、空等各种运输方式结构，合理配置各种运输资源，达到各种运输方式高效衔接，进一步提高综合运输效率。积极响应和贯彻落实国家对交通运输的发展要求，加快转变德阳交通运输发展方式，从以基础设施建设为主向建设、养护、运输、管理并举方向转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德阳市交通引导战略：借力成都，构建成（都）德（阳）组合型主枢纽，提升德阳区位优势.通过重大交通基础设施建设，提高德阳与成都、重庆两市交通的畅达性和高效性，承接区域中心城市经济辐射和产业转移，引导和推进市域城镇体系空间布局优化和土地等资源综合开发利用。</w:t>
      </w:r>
    </w:p>
    <w:p>
      <w:pPr>
        <w:ind w:firstLine="640"/>
        <w:outlineLvl w:val="1"/>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什邡市</w:t>
      </w:r>
      <w:r>
        <w:rPr>
          <w:rFonts w:hint="eastAsia" w:ascii="仿宋" w:hAnsi="仿宋" w:eastAsia="仿宋" w:cs="仿宋"/>
          <w:sz w:val="28"/>
          <w:szCs w:val="28"/>
        </w:rPr>
        <w:t>行业规划</w:t>
      </w:r>
    </w:p>
    <w:p>
      <w:pPr>
        <w:numPr>
          <w:ilvl w:val="0"/>
          <w:numId w:val="0"/>
        </w:numPr>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推进成德同城战略，加快融入。融入成都这个“主引擎”，是什邡当前的重中之重，要积极对接成都、德阳总体规划，加强与彭州等周边县市协调联动，在交通、旅游、产业等方面开展全方位对接、多元化合作，加快打造成德一体化边界试验区。要把交通作为融入成德同城的基础和关键，抢抓德阳打造环成都经济圈通勤最佳城市的重大机遇，打通“主动脉”、畅通“微循环”，着力构建“两高四轨六快”交通体系，加快打造蓉北重要交通节点城市。今年，重点要加快城西快通、城南快通、什德中快通建设，开工建设山区旅游环线、马井大桥改造工程，力促什茂山地轨道交通、城西快通二期落地，配合做好成都“三绕”境内段建设，建成成兰铁路客货站，打造蓉北高速快铁枢纽，更好更快融入成都半小时经济圈、生活圈。目前，什邡市产业格局呈现“2+4”产业支撑格局，食品、医药产业稳步增长，化工产业从粗到精逐步走出困境，航空与燃机产业高速增长，新型节能环保材料产业集群初步形成，旅游康养产业蓬勃发展。</w:t>
      </w:r>
    </w:p>
    <w:p>
      <w:pPr>
        <w:numPr>
          <w:ilvl w:val="0"/>
          <w:numId w:val="0"/>
        </w:numPr>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规划，未来什邡市将立足现有产业，以经济开发区建设为载体，坚持走新型工业化道路，大力实施“什邡制造2025”战略，走产业高端化发展道路，打造什邡工业升级版。围绕食品、现代化工、航空与燃机、新型节能环保材料、医药等产业，大力实施精准招商，不断扩大产业规模，强化工业支撑作用。加快食品、现代化工、装备和机械加工等传统产业转型升级；大力发展航空与燃机、节能环保材料、医药、电子信息等战略性新兴产业；建设现代新型园区，明晰经开区南北区功能定位和分工，逐步建成产业新城、城市新区。</w:t>
      </w:r>
    </w:p>
    <w:p>
      <w:pPr>
        <w:ind w:firstLine="643"/>
        <w:outlineLvl w:val="1"/>
        <w:rPr>
          <w:rFonts w:hint="eastAsia" w:ascii="仿宋" w:hAnsi="仿宋" w:eastAsia="仿宋" w:cs="仿宋"/>
          <w:b/>
          <w:sz w:val="28"/>
          <w:szCs w:val="28"/>
        </w:rPr>
      </w:pPr>
      <w:r>
        <w:rPr>
          <w:rFonts w:hint="eastAsia" w:ascii="仿宋" w:hAnsi="仿宋" w:eastAsia="仿宋" w:cs="仿宋"/>
          <w:b/>
          <w:sz w:val="28"/>
          <w:szCs w:val="28"/>
        </w:rPr>
        <w:t>（二）项目情况</w:t>
      </w:r>
    </w:p>
    <w:p>
      <w:pPr>
        <w:ind w:firstLine="643"/>
        <w:outlineLvl w:val="2"/>
        <w:rPr>
          <w:rFonts w:hint="eastAsia" w:ascii="仿宋" w:hAnsi="仿宋" w:eastAsia="仿宋" w:cs="仿宋"/>
          <w:b/>
          <w:sz w:val="28"/>
          <w:szCs w:val="28"/>
        </w:rPr>
      </w:pPr>
      <w:r>
        <w:rPr>
          <w:rFonts w:hint="eastAsia" w:ascii="仿宋" w:hAnsi="仿宋" w:eastAsia="仿宋" w:cs="仿宋"/>
          <w:b/>
          <w:sz w:val="28"/>
          <w:szCs w:val="28"/>
        </w:rPr>
        <w:t>1．参与主体</w:t>
      </w:r>
    </w:p>
    <w:p>
      <w:pPr>
        <w:ind w:firstLine="640"/>
        <w:rPr>
          <w:rFonts w:hint="eastAsia" w:ascii="仿宋" w:hAnsi="仿宋" w:eastAsia="仿宋" w:cs="仿宋"/>
          <w:sz w:val="28"/>
          <w:szCs w:val="28"/>
          <w:lang w:val="zh-CN"/>
        </w:rPr>
      </w:pPr>
      <w:r>
        <w:rPr>
          <w:rFonts w:hint="eastAsia" w:ascii="仿宋" w:hAnsi="仿宋" w:eastAsia="仿宋" w:cs="仿宋"/>
          <w:sz w:val="28"/>
          <w:szCs w:val="28"/>
          <w:lang w:val="zh-CN"/>
        </w:rPr>
        <w:t>行业主管部门：什邡市交通运输局</w:t>
      </w:r>
    </w:p>
    <w:p>
      <w:pPr>
        <w:ind w:firstLine="640"/>
        <w:rPr>
          <w:rFonts w:hint="eastAsia" w:ascii="仿宋" w:hAnsi="仿宋" w:eastAsia="仿宋" w:cs="仿宋"/>
          <w:sz w:val="28"/>
          <w:szCs w:val="28"/>
          <w:lang w:val="zh-CN" w:eastAsia="zh-CN"/>
        </w:rPr>
      </w:pPr>
      <w:r>
        <w:rPr>
          <w:rFonts w:hint="eastAsia" w:ascii="仿宋" w:hAnsi="仿宋" w:eastAsia="仿宋" w:cs="仿宋"/>
          <w:sz w:val="28"/>
          <w:szCs w:val="28"/>
          <w:lang w:val="zh-CN"/>
        </w:rPr>
        <w:t>项目单位　　：</w:t>
      </w:r>
      <w:r>
        <w:rPr>
          <w:rFonts w:hint="eastAsia" w:ascii="仿宋" w:hAnsi="仿宋" w:eastAsia="仿宋" w:cs="仿宋"/>
          <w:bCs/>
          <w:sz w:val="28"/>
          <w:szCs w:val="28"/>
          <w:lang w:eastAsia="zh-CN"/>
        </w:rPr>
        <w:t>什邡市恒基建设发展有限公司</w:t>
      </w:r>
    </w:p>
    <w:p>
      <w:pPr>
        <w:ind w:firstLine="643"/>
        <w:outlineLvl w:val="2"/>
        <w:rPr>
          <w:rFonts w:hint="eastAsia" w:ascii="仿宋" w:hAnsi="仿宋" w:eastAsia="仿宋" w:cs="仿宋"/>
          <w:b/>
          <w:sz w:val="28"/>
          <w:szCs w:val="28"/>
        </w:rPr>
      </w:pPr>
      <w:r>
        <w:rPr>
          <w:rFonts w:hint="eastAsia" w:ascii="仿宋" w:hAnsi="仿宋" w:eastAsia="仿宋" w:cs="仿宋"/>
          <w:b/>
          <w:sz w:val="28"/>
          <w:szCs w:val="28"/>
        </w:rPr>
        <w:t>2．项目概况</w:t>
      </w:r>
    </w:p>
    <w:p>
      <w:pPr>
        <w:ind w:firstLine="640"/>
        <w:rPr>
          <w:rFonts w:hint="eastAsia" w:ascii="仿宋" w:hAnsi="仿宋" w:eastAsia="仿宋" w:cs="仿宋"/>
          <w:sz w:val="28"/>
          <w:szCs w:val="28"/>
          <w:lang w:eastAsia="zh-CN"/>
        </w:rPr>
      </w:pPr>
      <w:r>
        <w:rPr>
          <w:rFonts w:hint="eastAsia" w:ascii="仿宋" w:hAnsi="仿宋" w:eastAsia="仿宋" w:cs="仿宋"/>
          <w:sz w:val="28"/>
          <w:szCs w:val="28"/>
          <w:lang w:val="zh-CN"/>
        </w:rPr>
        <w:t>（１）项目所属领域：</w:t>
      </w:r>
      <w:r>
        <w:rPr>
          <w:rFonts w:hint="eastAsia" w:cs="仿宋"/>
          <w:sz w:val="28"/>
          <w:szCs w:val="28"/>
          <w:lang w:val="en-US" w:eastAsia="zh-CN"/>
        </w:rPr>
        <w:t>城乡冷链物流基础设施</w:t>
      </w:r>
      <w:r>
        <w:rPr>
          <w:rFonts w:hint="eastAsia" w:ascii="仿宋" w:hAnsi="仿宋" w:eastAsia="仿宋" w:cs="仿宋"/>
          <w:sz w:val="28"/>
          <w:szCs w:val="28"/>
          <w:lang w:eastAsia="zh-CN"/>
        </w:rPr>
        <w:t>项目，属于有一定收益的公益性项目。</w:t>
      </w:r>
    </w:p>
    <w:p>
      <w:pPr>
        <w:jc w:val="both"/>
        <w:rPr>
          <w:rFonts w:hint="default" w:ascii="仿宋" w:hAnsi="仿宋" w:eastAsia="仿宋" w:cs="仿宋"/>
          <w:sz w:val="28"/>
          <w:szCs w:val="28"/>
          <w:lang w:val="en-US" w:eastAsia="zh-CN"/>
        </w:rPr>
      </w:pPr>
      <w:r>
        <w:rPr>
          <w:rFonts w:hint="eastAsia" w:ascii="仿宋" w:hAnsi="仿宋" w:eastAsia="仿宋" w:cs="仿宋"/>
          <w:sz w:val="28"/>
          <w:szCs w:val="28"/>
          <w:lang w:val="zh-CN"/>
        </w:rPr>
        <w:t>（２）建设地点：</w:t>
      </w:r>
      <w:r>
        <w:rPr>
          <w:rFonts w:hint="eastAsia" w:cs="仿宋"/>
          <w:sz w:val="28"/>
          <w:szCs w:val="28"/>
          <w:lang w:val="en-US" w:eastAsia="zh-CN"/>
        </w:rPr>
        <w:t>什邡市南泉镇、回澜镇、元石镇、皂角街道。</w:t>
      </w:r>
    </w:p>
    <w:p>
      <w:pPr>
        <w:ind w:firstLine="640"/>
        <w:rPr>
          <w:rFonts w:hint="eastAsia" w:ascii="仿宋" w:hAnsi="仿宋" w:eastAsia="仿宋" w:cs="仿宋"/>
          <w:sz w:val="28"/>
          <w:szCs w:val="28"/>
          <w:lang w:val="zh-CN"/>
        </w:rPr>
      </w:pPr>
      <w:r>
        <w:rPr>
          <w:rFonts w:hint="eastAsia" w:ascii="仿宋" w:hAnsi="仿宋" w:eastAsia="仿宋" w:cs="仿宋"/>
          <w:sz w:val="28"/>
          <w:szCs w:val="28"/>
          <w:lang w:val="zh-CN"/>
        </w:rPr>
        <w:t>（３）建设内容和规模</w:t>
      </w:r>
    </w:p>
    <w:p>
      <w:pPr>
        <w:ind w:firstLine="640"/>
        <w:rPr>
          <w:rFonts w:hint="eastAsia" w:ascii="仿宋" w:hAnsi="仿宋" w:eastAsia="仿宋" w:cs="仿宋"/>
          <w:sz w:val="28"/>
          <w:szCs w:val="28"/>
        </w:rPr>
      </w:pPr>
      <w:r>
        <w:rPr>
          <w:rFonts w:hint="eastAsia" w:ascii="仿宋" w:hAnsi="仿宋" w:eastAsia="仿宋" w:cs="仿宋"/>
          <w:sz w:val="28"/>
          <w:szCs w:val="28"/>
        </w:rPr>
        <w:t>项目主要包含新建物流园区与配套道路工程两大部分，总建设用地面积约为1019亩。物流园区主要分为综合办公区、展示交易区、冷链区、综合仓储区、智慧园区五大板块，主要建设综合办公用房50000平方米、展示交易大厅35000平方米、冷链仓储30000平方米、综合仓储50000平方米、智慧园区3500平方米。</w:t>
      </w:r>
    </w:p>
    <w:p>
      <w:pPr>
        <w:ind w:firstLine="640"/>
        <w:rPr>
          <w:rFonts w:hint="eastAsia" w:ascii="仿宋" w:hAnsi="仿宋" w:eastAsia="仿宋" w:cs="仿宋"/>
          <w:sz w:val="28"/>
          <w:szCs w:val="28"/>
          <w:lang w:eastAsia="zh-CN"/>
        </w:rPr>
      </w:pPr>
      <w:r>
        <w:rPr>
          <w:rFonts w:hint="eastAsia" w:ascii="仿宋" w:hAnsi="仿宋" w:eastAsia="仿宋" w:cs="仿宋"/>
          <w:sz w:val="28"/>
          <w:szCs w:val="28"/>
        </w:rPr>
        <w:t>什邡市客运枢纽中心4000平方米、配套商业3000平方米。配套道路工程主要包括城西快速通道、客货运连接线、京什西路改造工程和成兰铁路货运匝道接口。城西快速通道总长14千米，宽33.5米，为沥青混凝土路面二级公路；客货运连接线总长6.1千米，宽18米，为沥青混凝土路面二级公路。京什西路改造工程总长6千米，宽35米，为沥青混凝土路面一级公路，成兰铁路货运匝道接口长500米</w:t>
      </w:r>
      <w:r>
        <w:rPr>
          <w:rFonts w:hint="eastAsia" w:ascii="仿宋" w:hAnsi="仿宋" w:eastAsia="仿宋" w:cs="仿宋"/>
          <w:sz w:val="28"/>
          <w:szCs w:val="28"/>
          <w:lang w:eastAsia="zh-CN"/>
        </w:rPr>
        <w:t>。</w:t>
      </w:r>
    </w:p>
    <w:p>
      <w:pPr>
        <w:spacing w:beforeLines="10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二、经济社会效益分析</w:t>
      </w:r>
    </w:p>
    <w:p>
      <w:pPr>
        <w:ind w:firstLine="643"/>
        <w:rPr>
          <w:rFonts w:hint="eastAsia" w:ascii="仿宋" w:hAnsi="仿宋" w:eastAsia="仿宋" w:cs="仿宋"/>
          <w:b/>
          <w:bCs/>
          <w:sz w:val="28"/>
          <w:szCs w:val="28"/>
        </w:rPr>
      </w:pPr>
      <w:bookmarkStart w:id="0" w:name="_Toc23695"/>
      <w:bookmarkStart w:id="1" w:name="_Toc7158"/>
      <w:r>
        <w:rPr>
          <w:rFonts w:hint="eastAsia" w:ascii="仿宋" w:hAnsi="仿宋" w:eastAsia="仿宋" w:cs="仿宋"/>
          <w:b/>
          <w:bCs/>
          <w:sz w:val="28"/>
          <w:szCs w:val="28"/>
        </w:rPr>
        <w:t>（一）经济效益分析</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bookmarkStart w:id="2" w:name="_Toc32508"/>
      <w:bookmarkStart w:id="3" w:name="_Toc25460"/>
      <w:r>
        <w:rPr>
          <w:rFonts w:hint="eastAsia" w:ascii="仿宋" w:hAnsi="仿宋" w:eastAsia="仿宋" w:cs="仿宋"/>
          <w:sz w:val="28"/>
          <w:szCs w:val="28"/>
        </w:rPr>
        <w:t>项目的实施可以促进工业智能制造的发展，跟全球工业智能制造发展前沿，从中寻找发展机遇，赢得更大的发展空间，加快德阳工业化发展的进程。项目的建设能够有效的整合当地资源，带动工业发展，从源头实现扶贫，项目建成后，能就地解决当地就业，并组织实施职业技能培训，项目的建设具有推动经济发展，促进社会进步的作用。</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28"/>
          <w:szCs w:val="28"/>
        </w:rPr>
      </w:pPr>
      <w:r>
        <w:rPr>
          <w:rFonts w:hint="eastAsia" w:ascii="仿宋" w:hAnsi="仿宋" w:eastAsia="仿宋" w:cs="仿宋"/>
          <w:sz w:val="28"/>
          <w:szCs w:val="28"/>
        </w:rPr>
        <w:t>项目预计运营期可实现收入（不含税）231659.50万元，缴纳增值税8487.80万元，税金及附加1018.53万元，企业所得税15138.45万元，有利于增加地方财政收入。</w:t>
      </w:r>
    </w:p>
    <w:p>
      <w:pPr>
        <w:ind w:firstLine="640"/>
        <w:rPr>
          <w:rFonts w:hint="eastAsia" w:ascii="仿宋" w:hAnsi="仿宋" w:eastAsia="仿宋" w:cs="仿宋"/>
          <w:b/>
          <w:bCs/>
          <w:sz w:val="28"/>
          <w:szCs w:val="28"/>
        </w:rPr>
      </w:pPr>
      <w:r>
        <w:rPr>
          <w:rFonts w:hint="eastAsia" w:ascii="仿宋" w:hAnsi="仿宋" w:eastAsia="仿宋" w:cs="仿宋"/>
          <w:b/>
          <w:bCs/>
          <w:sz w:val="28"/>
          <w:szCs w:val="28"/>
        </w:rPr>
        <w:t>（二）社会效益分析</w:t>
      </w:r>
      <w:bookmarkEnd w:id="2"/>
      <w:bookmarkEnd w:id="3"/>
    </w:p>
    <w:p>
      <w:pPr>
        <w:pStyle w:val="17"/>
        <w:ind w:left="0" w:leftChars="0" w:firstLine="560" w:firstLineChars="200"/>
        <w:rPr>
          <w:rFonts w:hint="eastAsia" w:ascii="仿宋" w:hAnsi="仿宋" w:eastAsia="仿宋" w:cs="仿宋"/>
          <w:sz w:val="28"/>
          <w:szCs w:val="28"/>
          <w:lang w:val="en-US" w:eastAsia="zh-CN"/>
        </w:rPr>
      </w:pPr>
      <w:bookmarkStart w:id="4" w:name="_Toc17546541"/>
      <w:bookmarkStart w:id="5" w:name="_Toc533440327"/>
      <w:bookmarkStart w:id="6" w:name="_Toc291"/>
      <w:bookmarkStart w:id="7" w:name="_Toc19769"/>
      <w:bookmarkStart w:id="8" w:name="_Toc3075"/>
      <w:bookmarkStart w:id="9" w:name="_Toc13689"/>
      <w:bookmarkStart w:id="10" w:name="_Toc9883"/>
      <w:bookmarkStart w:id="11" w:name="_Toc18528"/>
      <w:bookmarkStart w:id="12" w:name="_Toc13295"/>
      <w:bookmarkStart w:id="13" w:name="_Toc559"/>
      <w:bookmarkStart w:id="14" w:name="_Toc18989"/>
      <w:bookmarkStart w:id="15" w:name="_Toc8732"/>
      <w:bookmarkStart w:id="16" w:name="_Toc19261"/>
      <w:bookmarkStart w:id="17" w:name="_Toc9123"/>
      <w:bookmarkStart w:id="18" w:name="_Toc16203"/>
      <w:r>
        <w:rPr>
          <w:rFonts w:hint="eastAsia" w:ascii="仿宋" w:hAnsi="仿宋" w:eastAsia="仿宋" w:cs="仿宋"/>
          <w:sz w:val="28"/>
          <w:szCs w:val="28"/>
          <w:lang w:val="en-US" w:eastAsia="zh-CN"/>
        </w:rPr>
        <w:t>本项目是实现“加快发展、加速转型、推动跨越”，推进新型工业化、城镇化发展。在产城一体建设推动下，项目地的文化、教育、卫生等事业领域将逐步配套完善。同时周边环境的道路交通状况，景观状况以及其他环境、基础设施状况都将起到较大的提升作用，推动什邡市物流、客货运等基础设施的发展。基础设施公共服务能力增强。</w:t>
      </w:r>
    </w:p>
    <w:p>
      <w:pPr>
        <w:pStyle w:val="17"/>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过分析，与项目建设直接相关的利益群体为项目区居民。项目建成后，将彻底改善项目区交通运输条件，切实提高项目区居民生活水平和生活质量；优化新旧城区资源配置、助推新型城镇化进程、加速城市经济发展；本项目的实施，预示着什邡市城镇化建设进入快速发展时期。本项目既维护了项目区居民的切身利益，保持了社会公平正义、和谐稳定；又拓展了什邡市城市发展空间，加快了什邡市城市建设，拉动了区域经济增长，使项目区居民的生活、居住环境得到质的提升，让他们享受到了城市开发建设的成果，他们是最大的受益者。</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Pr>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三、项目投资估算及资金筹措方案</w:t>
      </w:r>
    </w:p>
    <w:p>
      <w:pPr>
        <w:ind w:firstLine="643"/>
        <w:outlineLvl w:val="1"/>
        <w:rPr>
          <w:rFonts w:hint="eastAsia" w:ascii="仿宋" w:hAnsi="仿宋" w:eastAsia="仿宋" w:cs="仿宋"/>
          <w:b/>
          <w:sz w:val="28"/>
          <w:szCs w:val="28"/>
        </w:rPr>
      </w:pPr>
      <w:r>
        <w:rPr>
          <w:rFonts w:hint="eastAsia" w:ascii="仿宋" w:hAnsi="仿宋" w:eastAsia="仿宋" w:cs="仿宋"/>
          <w:b/>
          <w:sz w:val="28"/>
          <w:szCs w:val="28"/>
        </w:rPr>
        <w:t>（一）投资估算</w:t>
      </w:r>
    </w:p>
    <w:p>
      <w:pPr>
        <w:keepNext w:val="0"/>
        <w:keepLines w:val="0"/>
        <w:widowControl/>
        <w:suppressLineNumbers w:val="0"/>
        <w:jc w:val="both"/>
        <w:rPr>
          <w:rFonts w:hint="eastAsia" w:ascii="仿宋" w:hAnsi="仿宋" w:eastAsia="仿宋" w:cs="仿宋"/>
          <w:sz w:val="28"/>
          <w:szCs w:val="28"/>
        </w:rPr>
      </w:pPr>
      <w:r>
        <w:rPr>
          <w:rFonts w:hint="eastAsia" w:ascii="仿宋" w:hAnsi="仿宋" w:eastAsia="仿宋" w:cs="仿宋"/>
          <w:sz w:val="28"/>
          <w:szCs w:val="28"/>
        </w:rPr>
        <w:t>本项目总投资</w:t>
      </w:r>
      <w:r>
        <w:rPr>
          <w:rFonts w:hint="eastAsia" w:cs="仿宋"/>
          <w:sz w:val="28"/>
          <w:szCs w:val="28"/>
          <w:lang w:val="en-US" w:eastAsia="zh-CN"/>
        </w:rPr>
        <w:t>142000</w:t>
      </w:r>
      <w:r>
        <w:rPr>
          <w:rFonts w:hint="eastAsia" w:ascii="仿宋" w:hAnsi="仿宋" w:eastAsia="仿宋" w:cs="仿宋"/>
          <w:sz w:val="28"/>
          <w:szCs w:val="28"/>
        </w:rPr>
        <w:t>.00万元，其中：工程费用：</w:t>
      </w:r>
      <w:r>
        <w:rPr>
          <w:rFonts w:hint="eastAsia" w:cs="仿宋"/>
          <w:sz w:val="28"/>
          <w:szCs w:val="28"/>
          <w:lang w:val="en-US" w:eastAsia="zh-CN"/>
        </w:rPr>
        <w:t>106541.90</w:t>
      </w:r>
      <w:r>
        <w:rPr>
          <w:rFonts w:hint="eastAsia" w:ascii="仿宋" w:hAnsi="仿宋" w:eastAsia="仿宋" w:cs="仿宋"/>
          <w:sz w:val="28"/>
          <w:szCs w:val="28"/>
        </w:rPr>
        <w:t>万元，占</w:t>
      </w:r>
      <w:r>
        <w:rPr>
          <w:rFonts w:hint="eastAsia" w:cs="仿宋"/>
          <w:sz w:val="28"/>
          <w:szCs w:val="28"/>
          <w:lang w:val="en-US" w:eastAsia="zh-CN"/>
        </w:rPr>
        <w:t>75.03</w:t>
      </w:r>
      <w:r>
        <w:rPr>
          <w:rFonts w:hint="eastAsia" w:ascii="仿宋" w:hAnsi="仿宋" w:eastAsia="仿宋" w:cs="仿宋"/>
          <w:sz w:val="28"/>
          <w:szCs w:val="28"/>
        </w:rPr>
        <w:t>%；工程其他费用</w:t>
      </w:r>
      <w:r>
        <w:rPr>
          <w:rFonts w:hint="eastAsia" w:cs="仿宋"/>
          <w:sz w:val="28"/>
          <w:szCs w:val="28"/>
          <w:lang w:val="en-US" w:eastAsia="zh-CN"/>
        </w:rPr>
        <w:t>15750.65</w:t>
      </w:r>
      <w:r>
        <w:rPr>
          <w:rFonts w:hint="eastAsia" w:ascii="仿宋" w:hAnsi="仿宋" w:eastAsia="仿宋" w:cs="仿宋"/>
          <w:sz w:val="28"/>
          <w:szCs w:val="28"/>
        </w:rPr>
        <w:t>万元，占</w:t>
      </w:r>
      <w:r>
        <w:rPr>
          <w:rFonts w:hint="eastAsia" w:cs="仿宋"/>
          <w:sz w:val="28"/>
          <w:szCs w:val="28"/>
          <w:lang w:val="en-US" w:eastAsia="zh-CN"/>
        </w:rPr>
        <w:t>11.09</w:t>
      </w:r>
      <w:r>
        <w:rPr>
          <w:rFonts w:hint="eastAsia" w:ascii="仿宋" w:hAnsi="仿宋" w:eastAsia="仿宋" w:cs="仿宋"/>
          <w:sz w:val="28"/>
          <w:szCs w:val="28"/>
        </w:rPr>
        <w:t>%；预备费：</w:t>
      </w:r>
      <w:r>
        <w:rPr>
          <w:rFonts w:hint="eastAsia" w:cs="仿宋"/>
          <w:sz w:val="28"/>
          <w:szCs w:val="28"/>
          <w:lang w:val="en-US" w:eastAsia="zh-CN"/>
        </w:rPr>
        <w:t>6567.92</w:t>
      </w:r>
      <w:r>
        <w:rPr>
          <w:rFonts w:hint="eastAsia" w:ascii="仿宋" w:hAnsi="仿宋" w:eastAsia="仿宋" w:cs="仿宋"/>
          <w:sz w:val="28"/>
          <w:szCs w:val="28"/>
        </w:rPr>
        <w:t>万元，占</w:t>
      </w:r>
      <w:r>
        <w:rPr>
          <w:rFonts w:hint="eastAsia" w:cs="仿宋"/>
          <w:sz w:val="28"/>
          <w:szCs w:val="28"/>
          <w:lang w:val="en-US" w:eastAsia="zh-CN"/>
        </w:rPr>
        <w:t>4.63</w:t>
      </w:r>
      <w:r>
        <w:rPr>
          <w:rFonts w:hint="eastAsia" w:ascii="仿宋" w:hAnsi="仿宋" w:eastAsia="仿宋" w:cs="仿宋"/>
          <w:sz w:val="28"/>
          <w:szCs w:val="28"/>
        </w:rPr>
        <w:t>%；建设期利息及发行费：</w:t>
      </w:r>
      <w:r>
        <w:rPr>
          <w:rFonts w:hint="eastAsia" w:cs="仿宋"/>
          <w:sz w:val="28"/>
          <w:szCs w:val="28"/>
          <w:lang w:val="en-US" w:eastAsia="zh-CN"/>
        </w:rPr>
        <w:t>13139.53</w:t>
      </w:r>
      <w:r>
        <w:rPr>
          <w:rFonts w:hint="eastAsia" w:ascii="仿宋" w:hAnsi="仿宋" w:eastAsia="仿宋" w:cs="仿宋"/>
          <w:sz w:val="28"/>
          <w:szCs w:val="28"/>
        </w:rPr>
        <w:t>万元，占</w:t>
      </w:r>
      <w:r>
        <w:rPr>
          <w:rFonts w:hint="eastAsia" w:cs="仿宋"/>
          <w:sz w:val="28"/>
          <w:szCs w:val="28"/>
          <w:lang w:val="en-US" w:eastAsia="zh-CN"/>
        </w:rPr>
        <w:t>9.06</w:t>
      </w:r>
      <w:r>
        <w:rPr>
          <w:rFonts w:hint="eastAsia" w:ascii="仿宋" w:hAnsi="仿宋" w:eastAsia="仿宋" w:cs="仿宋"/>
          <w:sz w:val="28"/>
          <w:szCs w:val="28"/>
        </w:rPr>
        <w:t>%。详见项目投资估算表</w:t>
      </w:r>
      <w:r>
        <w:rPr>
          <w:rFonts w:hint="eastAsia" w:ascii="仿宋" w:hAnsi="仿宋" w:eastAsia="仿宋" w:cs="仿宋"/>
          <w:sz w:val="28"/>
          <w:szCs w:val="28"/>
          <w:lang w:eastAsia="zh-CN"/>
        </w:rPr>
        <w:t>。</w:t>
      </w:r>
    </w:p>
    <w:p>
      <w:pPr>
        <w:ind w:firstLine="643"/>
        <w:outlineLvl w:val="1"/>
        <w:rPr>
          <w:rFonts w:hint="eastAsia" w:ascii="仿宋" w:hAnsi="仿宋" w:eastAsia="仿宋" w:cs="仿宋"/>
          <w:b/>
          <w:sz w:val="28"/>
          <w:szCs w:val="28"/>
        </w:rPr>
      </w:pPr>
      <w:r>
        <w:rPr>
          <w:rFonts w:hint="eastAsia" w:ascii="仿宋" w:hAnsi="仿宋" w:eastAsia="仿宋" w:cs="仿宋"/>
          <w:b/>
          <w:sz w:val="28"/>
          <w:szCs w:val="28"/>
        </w:rPr>
        <w:t>（二）资金筹措方案</w:t>
      </w:r>
    </w:p>
    <w:p>
      <w:pPr>
        <w:ind w:firstLine="643"/>
        <w:outlineLvl w:val="2"/>
        <w:rPr>
          <w:rFonts w:hint="eastAsia" w:ascii="仿宋" w:hAnsi="仿宋" w:eastAsia="仿宋" w:cs="仿宋"/>
          <w:b/>
          <w:sz w:val="28"/>
          <w:szCs w:val="28"/>
        </w:rPr>
      </w:pPr>
      <w:r>
        <w:rPr>
          <w:rFonts w:hint="eastAsia" w:ascii="仿宋" w:hAnsi="仿宋" w:eastAsia="仿宋" w:cs="仿宋"/>
          <w:b/>
          <w:sz w:val="28"/>
          <w:szCs w:val="28"/>
        </w:rPr>
        <w:t>1.资金筹集情况</w:t>
      </w:r>
    </w:p>
    <w:p>
      <w:pPr>
        <w:ind w:firstLine="640"/>
        <w:rPr>
          <w:rFonts w:hint="eastAsia" w:ascii="仿宋" w:hAnsi="仿宋" w:eastAsia="仿宋" w:cs="仿宋"/>
          <w:sz w:val="28"/>
          <w:szCs w:val="28"/>
        </w:rPr>
      </w:pPr>
      <w:r>
        <w:rPr>
          <w:rFonts w:hint="eastAsia" w:ascii="仿宋" w:hAnsi="仿宋" w:eastAsia="仿宋" w:cs="仿宋"/>
          <w:sz w:val="28"/>
          <w:szCs w:val="28"/>
        </w:rPr>
        <w:t>项目估算总投资142000.00万元。其中自有资金：43000.00万元，占总投资的30.28%。本项目拟发行债券金额：50000.00万元，占项目总投资的35.21%。拟申请银行融资金额：49000.00万元。占项目总投资的34.51%。</w:t>
      </w:r>
    </w:p>
    <w:p>
      <w:pPr>
        <w:ind w:firstLine="640"/>
        <w:rPr>
          <w:rFonts w:hint="eastAsia" w:ascii="仿宋" w:hAnsi="仿宋" w:eastAsia="仿宋" w:cs="仿宋"/>
          <w:sz w:val="28"/>
          <w:szCs w:val="28"/>
        </w:rPr>
      </w:pPr>
      <w:r>
        <w:rPr>
          <w:rFonts w:hint="eastAsia" w:ascii="仿宋" w:hAnsi="仿宋" w:eastAsia="仿宋" w:cs="仿宋"/>
          <w:sz w:val="28"/>
          <w:szCs w:val="28"/>
        </w:rPr>
        <w:t>项目资本金43000.00万元，来源于财政预算资金，资本金按建设进度分别到位。融资来源：</w:t>
      </w:r>
    </w:p>
    <w:p>
      <w:pPr>
        <w:ind w:firstLine="640"/>
        <w:rPr>
          <w:rFonts w:hint="eastAsia" w:ascii="仿宋" w:hAnsi="仿宋" w:eastAsia="仿宋" w:cs="仿宋"/>
          <w:sz w:val="28"/>
          <w:szCs w:val="28"/>
        </w:rPr>
      </w:pPr>
      <w:r>
        <w:rPr>
          <w:rFonts w:hint="eastAsia" w:ascii="仿宋" w:hAnsi="仿宋" w:eastAsia="仿宋" w:cs="仿宋"/>
          <w:sz w:val="28"/>
          <w:szCs w:val="28"/>
        </w:rPr>
        <w:t>通过发行专项债券筹集资金50000.00万元，其中2020年拟发行债券10000万元，2021年拟发行债券10000万元，2022年拟发行债券10000万元，2023年拟发行债券10000万元，2024年拟发行债券10000万元。债券期限均为15年，债券利率暂按3.43%估算。</w:t>
      </w:r>
    </w:p>
    <w:p>
      <w:pPr>
        <w:ind w:firstLine="640"/>
        <w:rPr>
          <w:rFonts w:hint="eastAsia" w:ascii="仿宋" w:hAnsi="仿宋" w:eastAsia="仿宋" w:cs="仿宋"/>
          <w:sz w:val="28"/>
          <w:szCs w:val="28"/>
          <w:lang w:val="zh-TW" w:eastAsia="zh-TW"/>
        </w:rPr>
      </w:pPr>
      <w:r>
        <w:rPr>
          <w:rFonts w:hint="eastAsia" w:ascii="仿宋" w:hAnsi="仿宋" w:eastAsia="仿宋" w:cs="仿宋"/>
          <w:sz w:val="28"/>
          <w:szCs w:val="28"/>
        </w:rPr>
        <w:t>通过申请银行融资金额：49000.00万元。占项目总投资的34.51%。其中2020年拟申请贷款9000万元，2021年拟申请贷款券10000万元，2022年拟申请贷款10000万元，2023年拟申请贷款10000万元，2024年拟申请贷款10000万元。贷款利率按基准利率4.90%上浮20%计算，即5.88%。</w:t>
      </w:r>
      <w:bookmarkStart w:id="134" w:name="_GoBack"/>
      <w:bookmarkEnd w:id="134"/>
    </w:p>
    <w:p>
      <w:pPr>
        <w:snapToGrid w:val="0"/>
        <w:spacing w:beforeLines="10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四、项目预期收益、成本及融资平衡情况</w:t>
      </w:r>
    </w:p>
    <w:p>
      <w:pPr>
        <w:ind w:firstLine="643"/>
        <w:rPr>
          <w:rFonts w:hint="eastAsia" w:ascii="仿宋" w:hAnsi="仿宋" w:eastAsia="仿宋" w:cs="仿宋"/>
          <w:b/>
          <w:sz w:val="28"/>
          <w:szCs w:val="28"/>
        </w:rPr>
      </w:pPr>
      <w:r>
        <w:rPr>
          <w:rFonts w:hint="eastAsia" w:ascii="仿宋" w:hAnsi="仿宋" w:eastAsia="仿宋" w:cs="仿宋"/>
          <w:b/>
          <w:sz w:val="28"/>
          <w:szCs w:val="28"/>
        </w:rPr>
        <w:t>（一）预期收益</w:t>
      </w:r>
    </w:p>
    <w:p>
      <w:pPr>
        <w:ind w:firstLine="643"/>
        <w:rPr>
          <w:rFonts w:hint="eastAsia" w:ascii="仿宋" w:hAnsi="仿宋" w:eastAsia="仿宋" w:cs="仿宋"/>
          <w:b/>
          <w:sz w:val="28"/>
          <w:szCs w:val="28"/>
        </w:rPr>
      </w:pPr>
      <w:r>
        <w:rPr>
          <w:rFonts w:hint="eastAsia" w:ascii="仿宋" w:hAnsi="仿宋" w:eastAsia="仿宋" w:cs="仿宋"/>
          <w:b/>
          <w:sz w:val="28"/>
          <w:szCs w:val="28"/>
        </w:rPr>
        <w:t>1.项目收入</w:t>
      </w:r>
    </w:p>
    <w:p>
      <w:pPr>
        <w:ind w:firstLine="640"/>
        <w:rPr>
          <w:rFonts w:hint="eastAsia" w:ascii="仿宋" w:hAnsi="仿宋" w:eastAsia="仿宋" w:cs="仿宋"/>
          <w:sz w:val="28"/>
          <w:szCs w:val="28"/>
          <w:lang w:val="zh-CN"/>
        </w:rPr>
      </w:pPr>
      <w:r>
        <w:rPr>
          <w:rFonts w:hint="eastAsia" w:ascii="仿宋" w:hAnsi="仿宋" w:eastAsia="仿宋" w:cs="仿宋"/>
          <w:sz w:val="28"/>
          <w:szCs w:val="28"/>
          <w:lang w:val="zh-CN"/>
        </w:rPr>
        <w:t>本项目收入主要来源于孵化办公区收入、冷链仓储收入、预冷处置费收入、货物装卸费、配套商业租金收入、客运枢纽站收入</w:t>
      </w:r>
      <w:r>
        <w:rPr>
          <w:rFonts w:hint="eastAsia" w:ascii="仿宋" w:hAnsi="仿宋" w:eastAsia="仿宋" w:cs="仿宋"/>
          <w:sz w:val="28"/>
          <w:szCs w:val="28"/>
          <w:lang w:eastAsia="zh-CN"/>
        </w:rPr>
        <w:t>。</w:t>
      </w:r>
      <w:r>
        <w:rPr>
          <w:rFonts w:hint="eastAsia" w:ascii="仿宋" w:hAnsi="仿宋" w:eastAsia="仿宋" w:cs="仿宋"/>
          <w:sz w:val="28"/>
          <w:szCs w:val="28"/>
          <w:lang w:val="zh-CN"/>
        </w:rPr>
        <w:t>总收入</w:t>
      </w:r>
      <w:r>
        <w:rPr>
          <w:rFonts w:hint="eastAsia" w:cs="仿宋"/>
          <w:sz w:val="28"/>
          <w:szCs w:val="28"/>
          <w:lang w:val="en-US" w:eastAsia="zh-CN"/>
        </w:rPr>
        <w:t>250793.92</w:t>
      </w:r>
      <w:r>
        <w:rPr>
          <w:rFonts w:hint="eastAsia" w:ascii="仿宋" w:hAnsi="仿宋" w:eastAsia="仿宋" w:cs="仿宋"/>
          <w:sz w:val="28"/>
          <w:szCs w:val="28"/>
          <w:lang w:val="zh-CN"/>
        </w:rPr>
        <w:t>万元。</w:t>
      </w:r>
    </w:p>
    <w:p>
      <w:pPr>
        <w:ind w:firstLine="643"/>
        <w:rPr>
          <w:rFonts w:hint="eastAsia" w:ascii="仿宋" w:hAnsi="仿宋" w:eastAsia="仿宋" w:cs="仿宋"/>
          <w:b/>
          <w:sz w:val="28"/>
          <w:szCs w:val="28"/>
        </w:rPr>
      </w:pPr>
      <w:r>
        <w:rPr>
          <w:rFonts w:hint="eastAsia" w:ascii="仿宋" w:hAnsi="仿宋" w:eastAsia="仿宋" w:cs="仿宋"/>
          <w:b/>
          <w:sz w:val="28"/>
          <w:szCs w:val="28"/>
        </w:rPr>
        <w:t>2.项目成本</w:t>
      </w:r>
    </w:p>
    <w:p>
      <w:pPr>
        <w:keepNext w:val="0"/>
        <w:keepLines w:val="0"/>
        <w:widowControl/>
        <w:suppressLineNumbers w:val="0"/>
        <w:jc w:val="left"/>
        <w:rPr>
          <w:rFonts w:hint="eastAsia" w:ascii="仿宋" w:hAnsi="仿宋" w:eastAsia="仿宋" w:cs="仿宋"/>
          <w:spacing w:val="6"/>
          <w:sz w:val="28"/>
          <w:szCs w:val="28"/>
        </w:rPr>
      </w:pPr>
      <w:r>
        <w:rPr>
          <w:rFonts w:hint="eastAsia" w:ascii="仿宋" w:hAnsi="仿宋" w:eastAsia="仿宋" w:cs="仿宋"/>
          <w:sz w:val="28"/>
          <w:szCs w:val="28"/>
          <w:lang w:eastAsia="zh-CN"/>
        </w:rPr>
        <w:t>本项目的经营成本主要分为孵化办公区运营成本，冷链仓储运营成本、配套商业运营成本、客运枢纽站运营成本</w:t>
      </w:r>
      <w:r>
        <w:rPr>
          <w:rFonts w:hint="eastAsia" w:ascii="仿宋" w:hAnsi="仿宋" w:eastAsia="仿宋" w:cs="仿宋"/>
          <w:sz w:val="28"/>
          <w:szCs w:val="28"/>
          <w:lang w:val="en-US" w:eastAsia="zh-CN"/>
        </w:rPr>
        <w:t>等</w:t>
      </w:r>
      <w:r>
        <w:rPr>
          <w:rFonts w:hint="eastAsia" w:ascii="仿宋" w:hAnsi="仿宋" w:eastAsia="仿宋" w:cs="仿宋"/>
          <w:sz w:val="28"/>
          <w:szCs w:val="28"/>
          <w:lang w:eastAsia="zh-CN"/>
        </w:rPr>
        <w:t>，总成本</w:t>
      </w:r>
      <w:r>
        <w:rPr>
          <w:rFonts w:hint="eastAsia" w:cs="仿宋"/>
          <w:color w:val="000000"/>
          <w:kern w:val="0"/>
          <w:sz w:val="28"/>
          <w:szCs w:val="28"/>
          <w:lang w:val="en-US" w:eastAsia="zh-CN" w:bidi="ar"/>
        </w:rPr>
        <w:t>183662.97</w:t>
      </w:r>
      <w:r>
        <w:rPr>
          <w:rFonts w:hint="eastAsia" w:ascii="仿宋" w:hAnsi="仿宋" w:eastAsia="仿宋" w:cs="仿宋"/>
          <w:sz w:val="28"/>
          <w:szCs w:val="28"/>
          <w:lang w:eastAsia="zh-CN"/>
        </w:rPr>
        <w:t>万元。</w:t>
      </w:r>
    </w:p>
    <w:p>
      <w:pPr>
        <w:ind w:firstLine="643"/>
        <w:rPr>
          <w:rFonts w:hint="eastAsia" w:ascii="仿宋" w:hAnsi="仿宋" w:eastAsia="仿宋" w:cs="仿宋"/>
          <w:b/>
          <w:sz w:val="28"/>
          <w:szCs w:val="28"/>
        </w:rPr>
      </w:pPr>
      <w:r>
        <w:rPr>
          <w:rFonts w:hint="eastAsia" w:ascii="仿宋" w:hAnsi="仿宋" w:eastAsia="仿宋" w:cs="仿宋"/>
          <w:b/>
          <w:sz w:val="28"/>
          <w:szCs w:val="28"/>
        </w:rPr>
        <w:t>3.项目损益</w:t>
      </w:r>
    </w:p>
    <w:p>
      <w:pPr>
        <w:pStyle w:val="17"/>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本项目运营期总收入（不含税）为231659.50万元，总成本（不含税）为183662.97万元，其中税金及附加16518.64万元，利润总额47996.53万元，所得税总额为11999.13万元，净利润为35997.40万元。本项目中所得税按25%计算。</w:t>
      </w:r>
      <w:r>
        <w:rPr>
          <w:rFonts w:hint="eastAsia" w:ascii="仿宋" w:hAnsi="仿宋" w:eastAsia="仿宋" w:cs="仿宋"/>
          <w:sz w:val="28"/>
          <w:szCs w:val="28"/>
        </w:rPr>
        <w:t>项目在运营期间可实现</w:t>
      </w:r>
      <w:r>
        <w:rPr>
          <w:rFonts w:hint="eastAsia" w:ascii="仿宋" w:hAnsi="仿宋" w:eastAsia="仿宋" w:cs="仿宋"/>
          <w:sz w:val="28"/>
          <w:szCs w:val="28"/>
          <w:highlight w:val="none"/>
        </w:rPr>
        <w:t>营业收入</w:t>
      </w:r>
      <w:r>
        <w:rPr>
          <w:rFonts w:hint="eastAsia" w:ascii="仿宋" w:hAnsi="仿宋" w:eastAsia="仿宋" w:cs="仿宋"/>
          <w:sz w:val="28"/>
          <w:szCs w:val="28"/>
          <w:lang w:val="zh-CN"/>
        </w:rPr>
        <w:t>231659.50万元</w:t>
      </w:r>
      <w:r>
        <w:rPr>
          <w:rFonts w:hint="eastAsia" w:ascii="仿宋" w:hAnsi="仿宋" w:eastAsia="仿宋" w:cs="仿宋"/>
          <w:sz w:val="28"/>
          <w:szCs w:val="28"/>
          <w:highlight w:val="none"/>
          <w:u w:val="none" w:color="auto"/>
        </w:rPr>
        <w:t>。</w:t>
      </w:r>
      <w:r>
        <w:rPr>
          <w:rFonts w:hint="eastAsia" w:ascii="仿宋" w:hAnsi="仿宋" w:eastAsia="仿宋" w:cs="仿宋"/>
          <w:sz w:val="28"/>
          <w:szCs w:val="28"/>
          <w:highlight w:val="none"/>
          <w:u w:val="none" w:color="auto"/>
          <w:lang w:eastAsia="zh-CN"/>
        </w:rPr>
        <w:t>税后</w:t>
      </w:r>
      <w:r>
        <w:rPr>
          <w:rFonts w:hint="eastAsia" w:ascii="仿宋" w:hAnsi="仿宋" w:eastAsia="仿宋" w:cs="仿宋"/>
          <w:sz w:val="28"/>
          <w:szCs w:val="28"/>
          <w:highlight w:val="none"/>
          <w:u w:val="none" w:color="auto"/>
        </w:rPr>
        <w:t>净利润为</w:t>
      </w:r>
      <w:r>
        <w:rPr>
          <w:rFonts w:hint="eastAsia" w:ascii="仿宋" w:hAnsi="仿宋" w:eastAsia="仿宋" w:cs="仿宋"/>
          <w:sz w:val="28"/>
          <w:szCs w:val="28"/>
          <w:highlight w:val="none"/>
          <w:u w:val="none" w:color="auto"/>
          <w:lang w:val="en-US" w:eastAsia="zh-CN"/>
        </w:rPr>
        <w:t>35997.40</w:t>
      </w:r>
      <w:r>
        <w:rPr>
          <w:rFonts w:hint="eastAsia" w:ascii="仿宋" w:hAnsi="仿宋" w:eastAsia="仿宋" w:cs="仿宋"/>
          <w:sz w:val="28"/>
          <w:szCs w:val="28"/>
          <w:highlight w:val="none"/>
        </w:rPr>
        <w:t>万元</w:t>
      </w:r>
      <w:r>
        <w:rPr>
          <w:rFonts w:hint="eastAsia" w:ascii="仿宋" w:hAnsi="仿宋" w:eastAsia="仿宋" w:cs="仿宋"/>
          <w:sz w:val="28"/>
          <w:szCs w:val="28"/>
        </w:rPr>
        <w:t>，</w:t>
      </w:r>
      <w:r>
        <w:rPr>
          <w:rFonts w:hint="eastAsia" w:ascii="仿宋" w:hAnsi="仿宋" w:eastAsia="仿宋" w:cs="仿宋"/>
          <w:sz w:val="28"/>
          <w:szCs w:val="28"/>
          <w:lang w:eastAsia="zh-CN"/>
        </w:rPr>
        <w:t>项目</w:t>
      </w:r>
      <w:r>
        <w:rPr>
          <w:rFonts w:hint="eastAsia" w:ascii="仿宋" w:hAnsi="仿宋" w:eastAsia="仿宋" w:cs="仿宋"/>
          <w:sz w:val="28"/>
          <w:szCs w:val="28"/>
        </w:rPr>
        <w:t>有一定盈利，能够维持运营和发展需要</w:t>
      </w:r>
      <w:r>
        <w:rPr>
          <w:rFonts w:hint="eastAsia" w:ascii="仿宋" w:hAnsi="仿宋" w:eastAsia="仿宋" w:cs="仿宋"/>
          <w:sz w:val="28"/>
          <w:szCs w:val="28"/>
          <w:lang w:eastAsia="zh-CN"/>
        </w:rPr>
        <w:t>。</w:t>
      </w:r>
    </w:p>
    <w:p>
      <w:pPr>
        <w:pStyle w:val="17"/>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hint="eastAsia" w:ascii="仿宋" w:hAnsi="仿宋" w:eastAsia="仿宋" w:cs="仿宋"/>
          <w:sz w:val="28"/>
          <w:szCs w:val="28"/>
          <w:lang w:val="en-GB"/>
        </w:rPr>
      </w:pPr>
      <w:r>
        <w:rPr>
          <w:rFonts w:hint="eastAsia" w:ascii="仿宋" w:hAnsi="仿宋" w:eastAsia="仿宋" w:cs="仿宋"/>
          <w:b/>
          <w:sz w:val="28"/>
          <w:szCs w:val="28"/>
        </w:rPr>
        <w:t>（二）资金测算平衡情况</w:t>
      </w:r>
    </w:p>
    <w:p>
      <w:pPr>
        <w:ind w:firstLine="640"/>
        <w:rPr>
          <w:rFonts w:hint="eastAsia" w:ascii="仿宋" w:hAnsi="仿宋" w:eastAsia="仿宋" w:cs="仿宋"/>
          <w:sz w:val="28"/>
          <w:szCs w:val="28"/>
        </w:rPr>
      </w:pPr>
      <w:r>
        <w:rPr>
          <w:rFonts w:hint="eastAsia" w:cs="仿宋"/>
          <w:sz w:val="28"/>
          <w:szCs w:val="28"/>
          <w:lang w:val="en-US" w:eastAsia="zh-CN"/>
        </w:rPr>
        <w:t>1</w:t>
      </w:r>
      <w:r>
        <w:rPr>
          <w:rFonts w:hint="eastAsia" w:ascii="仿宋" w:hAnsi="仿宋" w:eastAsia="仿宋" w:cs="仿宋"/>
          <w:sz w:val="28"/>
          <w:szCs w:val="28"/>
        </w:rPr>
        <w:t>.专项债券融资资金测算平衡情况</w:t>
      </w:r>
    </w:p>
    <w:p>
      <w:pPr>
        <w:ind w:firstLine="640"/>
        <w:rPr>
          <w:rFonts w:hint="eastAsia" w:ascii="仿宋" w:hAnsi="仿宋" w:eastAsia="仿宋" w:cs="仿宋"/>
          <w:sz w:val="28"/>
          <w:szCs w:val="28"/>
        </w:rPr>
      </w:pPr>
      <w:r>
        <w:rPr>
          <w:rFonts w:hint="eastAsia" w:ascii="仿宋" w:hAnsi="仿宋" w:eastAsia="仿宋" w:cs="仿宋"/>
          <w:sz w:val="28"/>
          <w:szCs w:val="28"/>
        </w:rPr>
        <w:t>本项目经营期产生的其他经营性专项净收入纳入政府性基金预算管理，合计现金流量为</w:t>
      </w:r>
      <w:r>
        <w:rPr>
          <w:rFonts w:hint="eastAsia" w:ascii="仿宋" w:hAnsi="仿宋" w:eastAsia="仿宋" w:cs="仿宋"/>
          <w:sz w:val="28"/>
          <w:szCs w:val="28"/>
          <w:lang w:val="en-US" w:eastAsia="zh-CN"/>
        </w:rPr>
        <w:t>90343.24</w:t>
      </w:r>
      <w:r>
        <w:rPr>
          <w:rFonts w:hint="eastAsia" w:ascii="仿宋" w:hAnsi="仿宋" w:eastAsia="仿宋" w:cs="仿宋"/>
          <w:sz w:val="28"/>
          <w:szCs w:val="28"/>
        </w:rPr>
        <w:t>万元，缴入专项债偿债资金专户用于偿还专项债本息。经测算，偿债覆盖倍数为1.</w:t>
      </w:r>
      <w:r>
        <w:rPr>
          <w:rFonts w:hint="eastAsia" w:ascii="仿宋" w:hAnsi="仿宋" w:eastAsia="仿宋" w:cs="仿宋"/>
          <w:sz w:val="28"/>
          <w:szCs w:val="28"/>
          <w:lang w:val="en-US" w:eastAsia="zh-CN"/>
        </w:rPr>
        <w:t>2</w:t>
      </w:r>
      <w:r>
        <w:rPr>
          <w:rFonts w:hint="eastAsia" w:cs="仿宋"/>
          <w:sz w:val="28"/>
          <w:szCs w:val="28"/>
          <w:lang w:val="en-US" w:eastAsia="zh-CN"/>
        </w:rPr>
        <w:t>8</w:t>
      </w:r>
      <w:r>
        <w:rPr>
          <w:rFonts w:hint="eastAsia" w:ascii="仿宋" w:hAnsi="仿宋" w:eastAsia="仿宋" w:cs="仿宋"/>
          <w:sz w:val="28"/>
          <w:szCs w:val="28"/>
        </w:rPr>
        <w:t>倍，该部分收益足以覆盖还本付息，且有盈余，项目偿债能力较强。</w:t>
      </w:r>
    </w:p>
    <w:p>
      <w:pPr>
        <w:ind w:firstLine="640"/>
        <w:rPr>
          <w:rFonts w:hint="eastAsia" w:ascii="仿宋" w:hAnsi="仿宋" w:eastAsia="仿宋" w:cs="仿宋"/>
          <w:sz w:val="28"/>
          <w:szCs w:val="28"/>
        </w:rPr>
      </w:pPr>
      <w:r>
        <w:rPr>
          <w:rFonts w:hint="eastAsia" w:cs="仿宋"/>
          <w:sz w:val="28"/>
          <w:szCs w:val="28"/>
          <w:lang w:val="en-US" w:eastAsia="zh-CN"/>
        </w:rPr>
        <w:t>2</w:t>
      </w:r>
      <w:r>
        <w:rPr>
          <w:rFonts w:hint="eastAsia" w:ascii="仿宋" w:hAnsi="仿宋" w:eastAsia="仿宋" w:cs="仿宋"/>
          <w:sz w:val="28"/>
          <w:szCs w:val="28"/>
        </w:rPr>
        <w:t>.市场化融资资金测算平衡情况</w:t>
      </w:r>
    </w:p>
    <w:p>
      <w:pPr>
        <w:ind w:firstLine="640"/>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2098" w:right="1418" w:bottom="1588" w:left="1644" w:header="851" w:footer="992" w:gutter="0"/>
          <w:pgNumType w:fmt="numberInDash"/>
          <w:cols w:space="720" w:num="1"/>
          <w:docGrid w:type="lines" w:linePitch="435" w:charSpace="0"/>
        </w:sectPr>
      </w:pPr>
      <w:r>
        <w:rPr>
          <w:rFonts w:hint="eastAsia" w:ascii="仿宋" w:hAnsi="仿宋" w:eastAsia="仿宋" w:cs="仿宋"/>
          <w:sz w:val="28"/>
          <w:szCs w:val="28"/>
        </w:rPr>
        <w:t>本项目经营期产生的其他经营性专项净收入用于归还项目市场化融资，合计现金流量为88518.86万元，缴入市场化融资偿债资金专户用于偿还市场化融资本息。经测算，偿债覆盖倍数为1.</w:t>
      </w:r>
      <w:r>
        <w:rPr>
          <w:rFonts w:hint="eastAsia" w:ascii="仿宋" w:hAnsi="仿宋" w:eastAsia="仿宋" w:cs="仿宋"/>
          <w:sz w:val="28"/>
          <w:szCs w:val="28"/>
          <w:lang w:val="en-US" w:eastAsia="zh-CN"/>
        </w:rPr>
        <w:t>2</w:t>
      </w:r>
      <w:r>
        <w:rPr>
          <w:rFonts w:hint="eastAsia" w:cs="仿宋"/>
          <w:sz w:val="28"/>
          <w:szCs w:val="28"/>
          <w:lang w:val="en-US" w:eastAsia="zh-CN"/>
        </w:rPr>
        <w:t>1</w:t>
      </w:r>
      <w:r>
        <w:rPr>
          <w:rFonts w:hint="eastAsia" w:ascii="仿宋" w:hAnsi="仿宋" w:eastAsia="仿宋" w:cs="仿宋"/>
          <w:sz w:val="28"/>
          <w:szCs w:val="28"/>
        </w:rPr>
        <w:t>倍，该部分收益足以覆盖还本付息，且有盈余，项目偿债能力较强。</w:t>
      </w:r>
    </w:p>
    <w:p>
      <w:pPr>
        <w:pStyle w:val="2"/>
        <w:ind w:left="0" w:leftChars="0" w:firstLine="0" w:firstLineChars="0"/>
        <w:rPr>
          <w:rFonts w:hint="eastAsia"/>
        </w:rPr>
      </w:pPr>
      <w:r>
        <w:drawing>
          <wp:inline distT="0" distB="0" distL="114300" distR="114300">
            <wp:extent cx="5958840" cy="3364230"/>
            <wp:effectExtent l="0" t="0" r="3810" b="762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2"/>
                    <a:stretch>
                      <a:fillRect/>
                    </a:stretch>
                  </pic:blipFill>
                  <pic:spPr>
                    <a:xfrm>
                      <a:off x="0" y="0"/>
                      <a:ext cx="5958840" cy="3364230"/>
                    </a:xfrm>
                    <a:prstGeom prst="rect">
                      <a:avLst/>
                    </a:prstGeom>
                    <a:noFill/>
                    <a:ln>
                      <a:noFill/>
                    </a:ln>
                  </pic:spPr>
                </pic:pic>
              </a:graphicData>
            </a:graphic>
          </wp:inline>
        </w:drawing>
      </w:r>
    </w:p>
    <w:p>
      <w:pPr>
        <w:widowControl/>
        <w:adjustRightInd w:val="0"/>
        <w:snapToGrid w:val="0"/>
        <w:spacing w:line="240" w:lineRule="auto"/>
        <w:ind w:firstLine="0" w:firstLineChars="0"/>
        <w:jc w:val="both"/>
        <w:textAlignment w:val="center"/>
      </w:pPr>
      <w:r>
        <w:drawing>
          <wp:inline distT="0" distB="0" distL="114300" distR="114300">
            <wp:extent cx="5825490" cy="3547110"/>
            <wp:effectExtent l="0" t="0" r="3810" b="1524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3"/>
                    <a:stretch>
                      <a:fillRect/>
                    </a:stretch>
                  </pic:blipFill>
                  <pic:spPr>
                    <a:xfrm>
                      <a:off x="0" y="0"/>
                      <a:ext cx="5825490" cy="3547110"/>
                    </a:xfrm>
                    <a:prstGeom prst="rect">
                      <a:avLst/>
                    </a:prstGeom>
                    <a:noFill/>
                    <a:ln>
                      <a:noFill/>
                    </a:ln>
                  </pic:spPr>
                </pic:pic>
              </a:graphicData>
            </a:graphic>
          </wp:inline>
        </w:drawing>
      </w:r>
    </w:p>
    <w:p>
      <w:pPr>
        <w:pStyle w:val="2"/>
        <w:ind w:left="0" w:leftChars="0" w:firstLine="0" w:firstLineChars="0"/>
      </w:pPr>
      <w:r>
        <w:drawing>
          <wp:inline distT="0" distB="0" distL="114300" distR="114300">
            <wp:extent cx="5608955" cy="3315335"/>
            <wp:effectExtent l="0" t="0" r="10795" b="1841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4"/>
                    <a:stretch>
                      <a:fillRect/>
                    </a:stretch>
                  </pic:blipFill>
                  <pic:spPr>
                    <a:xfrm>
                      <a:off x="0" y="0"/>
                      <a:ext cx="5608955" cy="3315335"/>
                    </a:xfrm>
                    <a:prstGeom prst="rect">
                      <a:avLst/>
                    </a:prstGeom>
                    <a:noFill/>
                    <a:ln>
                      <a:noFill/>
                    </a:ln>
                  </pic:spPr>
                </pic:pic>
              </a:graphicData>
            </a:graphic>
          </wp:inline>
        </w:drawing>
      </w:r>
    </w:p>
    <w:p>
      <w:pPr>
        <w:pStyle w:val="3"/>
        <w:ind w:left="0" w:leftChars="0" w:firstLine="0" w:firstLineChars="0"/>
      </w:pPr>
      <w:r>
        <w:drawing>
          <wp:inline distT="0" distB="0" distL="114300" distR="114300">
            <wp:extent cx="5612765" cy="2475230"/>
            <wp:effectExtent l="0" t="0" r="6985" b="127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5"/>
                    <a:stretch>
                      <a:fillRect/>
                    </a:stretch>
                  </pic:blipFill>
                  <pic:spPr>
                    <a:xfrm>
                      <a:off x="0" y="0"/>
                      <a:ext cx="5612765" cy="2475230"/>
                    </a:xfrm>
                    <a:prstGeom prst="rect">
                      <a:avLst/>
                    </a:prstGeom>
                    <a:noFill/>
                    <a:ln>
                      <a:noFill/>
                    </a:ln>
                  </pic:spPr>
                </pic:pic>
              </a:graphicData>
            </a:graphic>
          </wp:inline>
        </w:drawing>
      </w:r>
    </w:p>
    <w:p>
      <w:pPr>
        <w:rPr>
          <w:rFonts w:hint="eastAsia"/>
        </w:rPr>
      </w:pPr>
    </w:p>
    <w:p>
      <w:pPr>
        <w:snapToGrid w:val="0"/>
        <w:spacing w:beforeLines="10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五、项目绩效目标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时效目标:本次债券</w:t>
      </w:r>
      <w:r>
        <w:rPr>
          <w:rFonts w:hint="eastAsia" w:ascii="仿宋" w:hAnsi="仿宋" w:eastAsia="仿宋" w:cs="仿宋"/>
          <w:sz w:val="28"/>
          <w:szCs w:val="28"/>
          <w:lang w:val="zh-CN"/>
        </w:rPr>
        <w:t>发行期限为</w:t>
      </w:r>
      <w:r>
        <w:rPr>
          <w:rFonts w:hint="eastAsia" w:cs="仿宋"/>
          <w:sz w:val="28"/>
          <w:szCs w:val="28"/>
          <w:lang w:val="en-US" w:eastAsia="zh-CN"/>
        </w:rPr>
        <w:t>15</w:t>
      </w:r>
      <w:r>
        <w:rPr>
          <w:rFonts w:hint="eastAsia" w:ascii="仿宋" w:hAnsi="仿宋" w:eastAsia="仿宋" w:cs="仿宋"/>
          <w:sz w:val="28"/>
          <w:szCs w:val="28"/>
          <w:lang w:val="zh-CN"/>
        </w:rPr>
        <w:t>年</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债券以及市场化融资</w:t>
      </w:r>
      <w:r>
        <w:rPr>
          <w:rFonts w:hint="eastAsia" w:cs="仿宋"/>
          <w:sz w:val="28"/>
          <w:szCs w:val="28"/>
          <w:lang w:val="en-US" w:eastAsia="zh-CN"/>
        </w:rPr>
        <w:t>15</w:t>
      </w:r>
      <w:r>
        <w:rPr>
          <w:rFonts w:hint="eastAsia" w:ascii="仿宋" w:hAnsi="仿宋" w:eastAsia="仿宋" w:cs="仿宋"/>
          <w:sz w:val="28"/>
          <w:szCs w:val="28"/>
          <w:lang w:val="en-US" w:eastAsia="zh-CN"/>
        </w:rPr>
        <w:t>年内还本付息，</w:t>
      </w:r>
      <w:r>
        <w:rPr>
          <w:rFonts w:hint="eastAsia" w:cs="仿宋"/>
          <w:sz w:val="28"/>
          <w:szCs w:val="28"/>
          <w:lang w:val="zh-CN"/>
        </w:rPr>
        <w:t>什邡市交通运输局</w:t>
      </w:r>
      <w:r>
        <w:rPr>
          <w:rFonts w:hint="eastAsia" w:ascii="仿宋" w:hAnsi="仿宋" w:eastAsia="仿宋" w:cs="仿宋"/>
          <w:sz w:val="28"/>
          <w:szCs w:val="28"/>
          <w:lang w:val="en-US" w:eastAsia="zh-CN"/>
        </w:rPr>
        <w:t>可根据项目收益及实施情况提前还本付息。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zh-CN" w:eastAsia="zh-CN"/>
        </w:rPr>
      </w:pPr>
      <w:r>
        <w:rPr>
          <w:rFonts w:hint="eastAsia" w:ascii="仿宋" w:hAnsi="仿宋" w:eastAsia="仿宋" w:cs="仿宋"/>
          <w:sz w:val="28"/>
          <w:szCs w:val="28"/>
          <w:lang w:val="en-US" w:eastAsia="zh-CN"/>
        </w:rPr>
        <w:t>经济效益目标：</w:t>
      </w:r>
      <w:r>
        <w:rPr>
          <w:rFonts w:hint="eastAsia" w:ascii="仿宋" w:hAnsi="仿宋" w:eastAsia="仿宋" w:cs="仿宋"/>
          <w:sz w:val="28"/>
          <w:szCs w:val="28"/>
          <w:lang w:val="zh-CN"/>
        </w:rPr>
        <w:t>创造就业机会，创造地方国民生产总值，增加税收</w:t>
      </w:r>
      <w:r>
        <w:rPr>
          <w:rFonts w:hint="eastAsia" w:ascii="仿宋" w:hAnsi="仿宋" w:eastAsia="仿宋" w:cs="仿宋"/>
          <w:sz w:val="28"/>
          <w:szCs w:val="28"/>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zh-CN" w:eastAsia="zh-CN"/>
        </w:rPr>
      </w:pPr>
      <w:r>
        <w:rPr>
          <w:rFonts w:hint="eastAsia" w:ascii="仿宋" w:hAnsi="仿宋" w:eastAsia="仿宋" w:cs="仿宋"/>
          <w:sz w:val="28"/>
          <w:szCs w:val="28"/>
          <w:lang w:val="en-US" w:eastAsia="zh-CN"/>
        </w:rPr>
        <w:t>社会效益目标：项目实施运营后，给地区投资及发展带来直接改善。也给当地居民提供了更多的就业机会，部分居民可以从事相关行业工作。从而提高当地居民收入，特别是贫困人口的收入，对促进地区收入分配公平、缩小贫富差距有着积极意义。</w:t>
      </w:r>
    </w:p>
    <w:p>
      <w:pPr>
        <w:ind w:firstLine="640"/>
        <w:rPr>
          <w:rFonts w:hint="eastAsia" w:ascii="仿宋" w:hAnsi="仿宋" w:eastAsia="仿宋" w:cs="仿宋"/>
          <w:sz w:val="28"/>
          <w:szCs w:val="28"/>
        </w:rPr>
      </w:pPr>
      <w:r>
        <w:rPr>
          <w:rFonts w:hint="eastAsia" w:ascii="仿宋" w:hAnsi="仿宋" w:eastAsia="仿宋" w:cs="仿宋"/>
          <w:sz w:val="28"/>
          <w:szCs w:val="28"/>
          <w:lang w:val="en-US" w:eastAsia="zh-CN"/>
        </w:rPr>
        <w:t>可持续影响目标：</w:t>
      </w:r>
      <w:r>
        <w:rPr>
          <w:rFonts w:hint="eastAsia" w:ascii="仿宋" w:hAnsi="仿宋" w:eastAsia="仿宋" w:cs="仿宋"/>
          <w:sz w:val="28"/>
          <w:szCs w:val="28"/>
          <w:lang w:val="zh-CN"/>
        </w:rPr>
        <w:t>优化区域经济结构和产业布局</w:t>
      </w:r>
      <w:r>
        <w:rPr>
          <w:rFonts w:hint="eastAsia" w:ascii="仿宋" w:hAnsi="仿宋" w:eastAsia="仿宋" w:cs="仿宋"/>
          <w:sz w:val="28"/>
          <w:szCs w:val="28"/>
          <w:lang w:val="zh-CN" w:eastAsia="zh-CN"/>
        </w:rPr>
        <w:t>。</w:t>
      </w:r>
    </w:p>
    <w:p>
      <w:pPr>
        <w:spacing w:beforeLines="10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六、潜在影响项目的风险评估</w:t>
      </w:r>
    </w:p>
    <w:p>
      <w:pPr>
        <w:ind w:firstLine="640"/>
        <w:outlineLvl w:val="1"/>
        <w:rPr>
          <w:rFonts w:hint="eastAsia" w:ascii="仿宋" w:hAnsi="仿宋" w:eastAsia="仿宋" w:cs="仿宋"/>
          <w:sz w:val="28"/>
          <w:szCs w:val="28"/>
        </w:rPr>
      </w:pPr>
      <w:bookmarkStart w:id="19" w:name="_Toc533440373"/>
      <w:bookmarkStart w:id="20" w:name="_Toc8221"/>
      <w:bookmarkStart w:id="21" w:name="_Toc3133"/>
      <w:bookmarkStart w:id="22" w:name="_Toc522211116"/>
      <w:bookmarkStart w:id="23" w:name="_Toc17567"/>
      <w:bookmarkStart w:id="24" w:name="_Toc11878"/>
      <w:bookmarkStart w:id="25" w:name="_Toc17546587"/>
      <w:bookmarkStart w:id="26" w:name="_Toc23946"/>
      <w:bookmarkStart w:id="27" w:name="_Toc9001"/>
      <w:bookmarkStart w:id="28" w:name="_Toc19329"/>
      <w:bookmarkStart w:id="29" w:name="_Toc1719522"/>
      <w:bookmarkStart w:id="30" w:name="_Toc20292"/>
      <w:bookmarkStart w:id="31" w:name="_Toc13272"/>
      <w:bookmarkStart w:id="32" w:name="_Toc10507"/>
      <w:bookmarkStart w:id="33" w:name="_Toc8567"/>
      <w:bookmarkStart w:id="34" w:name="_Toc24265"/>
      <w:bookmarkStart w:id="35" w:name="_Toc523481580"/>
      <w:bookmarkStart w:id="36" w:name="_Toc9837"/>
      <w:bookmarkStart w:id="37" w:name="_Toc31579"/>
      <w:bookmarkStart w:id="38" w:name="_Toc19307"/>
      <w:r>
        <w:rPr>
          <w:rFonts w:hint="eastAsia" w:ascii="仿宋" w:hAnsi="仿宋" w:eastAsia="仿宋" w:cs="仿宋"/>
          <w:sz w:val="28"/>
          <w:szCs w:val="28"/>
        </w:rPr>
        <w:t>1.自然环境和施工条件</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pPr>
        <w:ind w:firstLine="640"/>
        <w:rPr>
          <w:rFonts w:hint="eastAsia" w:ascii="仿宋" w:hAnsi="仿宋" w:eastAsia="仿宋" w:cs="仿宋"/>
          <w:sz w:val="28"/>
          <w:szCs w:val="28"/>
        </w:rPr>
      </w:pPr>
      <w:r>
        <w:rPr>
          <w:rFonts w:hint="eastAsia" w:ascii="仿宋" w:hAnsi="仿宋" w:eastAsia="仿宋" w:cs="仿宋"/>
          <w:sz w:val="28"/>
          <w:szCs w:val="28"/>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pPr>
        <w:ind w:firstLine="640"/>
        <w:outlineLvl w:val="1"/>
        <w:rPr>
          <w:rFonts w:hint="eastAsia" w:ascii="仿宋" w:hAnsi="仿宋" w:eastAsia="仿宋" w:cs="仿宋"/>
          <w:sz w:val="28"/>
          <w:szCs w:val="28"/>
        </w:rPr>
      </w:pPr>
      <w:bookmarkStart w:id="39" w:name="_Toc11694"/>
      <w:bookmarkStart w:id="40" w:name="_Toc4903"/>
      <w:bookmarkStart w:id="41" w:name="_Toc533440374"/>
      <w:bookmarkStart w:id="42" w:name="_Toc17546588"/>
      <w:bookmarkStart w:id="43" w:name="_Toc9730"/>
      <w:bookmarkStart w:id="44" w:name="_Toc20209"/>
      <w:bookmarkStart w:id="45" w:name="_Toc27268"/>
      <w:bookmarkStart w:id="46" w:name="_Toc19820"/>
      <w:bookmarkStart w:id="47" w:name="_Toc23366"/>
      <w:bookmarkStart w:id="48" w:name="_Toc8987"/>
      <w:bookmarkStart w:id="49" w:name="_Toc9961"/>
      <w:bookmarkStart w:id="50" w:name="_Toc522211117"/>
      <w:bookmarkStart w:id="51" w:name="_Toc523481581"/>
      <w:bookmarkStart w:id="52" w:name="_Toc4753"/>
      <w:bookmarkStart w:id="53" w:name="_Toc5424"/>
      <w:bookmarkStart w:id="54" w:name="_Toc3884"/>
      <w:bookmarkStart w:id="55" w:name="_Toc1719523"/>
      <w:bookmarkStart w:id="56" w:name="_Toc1902"/>
      <w:bookmarkStart w:id="57" w:name="_Toc8314"/>
      <w:r>
        <w:rPr>
          <w:rFonts w:hint="eastAsia" w:ascii="仿宋" w:hAnsi="仿宋" w:eastAsia="仿宋" w:cs="仿宋"/>
          <w:sz w:val="28"/>
          <w:szCs w:val="28"/>
        </w:rPr>
        <w:t>2.来源于施工方的风险因素</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ind w:firstLine="640"/>
        <w:rPr>
          <w:rFonts w:hint="eastAsia" w:ascii="仿宋" w:hAnsi="仿宋" w:eastAsia="仿宋" w:cs="仿宋"/>
          <w:sz w:val="28"/>
          <w:szCs w:val="28"/>
        </w:rPr>
      </w:pPr>
      <w:r>
        <w:rPr>
          <w:rFonts w:hint="eastAsia" w:ascii="仿宋" w:hAnsi="仿宋" w:eastAsia="仿宋" w:cs="仿宋"/>
          <w:sz w:val="28"/>
          <w:szCs w:val="28"/>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pPr>
        <w:ind w:firstLine="640"/>
        <w:outlineLvl w:val="1"/>
        <w:rPr>
          <w:rFonts w:hint="eastAsia" w:ascii="仿宋" w:hAnsi="仿宋" w:eastAsia="仿宋" w:cs="仿宋"/>
          <w:sz w:val="28"/>
          <w:szCs w:val="28"/>
        </w:rPr>
      </w:pPr>
      <w:bookmarkStart w:id="58" w:name="_Toc9158"/>
      <w:bookmarkStart w:id="59" w:name="_Toc1719524"/>
      <w:bookmarkStart w:id="60" w:name="_Toc6870"/>
      <w:bookmarkStart w:id="61" w:name="_Toc17546589"/>
      <w:bookmarkStart w:id="62" w:name="_Toc29272"/>
      <w:bookmarkStart w:id="63" w:name="_Toc522211118"/>
      <w:bookmarkStart w:id="64" w:name="_Toc32054"/>
      <w:bookmarkStart w:id="65" w:name="_Toc20901"/>
      <w:bookmarkStart w:id="66" w:name="_Toc6172"/>
      <w:bookmarkStart w:id="67" w:name="_Toc523481582"/>
      <w:bookmarkStart w:id="68" w:name="_Toc4267"/>
      <w:bookmarkStart w:id="69" w:name="_Toc533440375"/>
      <w:bookmarkStart w:id="70" w:name="_Toc16602"/>
      <w:bookmarkStart w:id="71" w:name="_Toc28355"/>
      <w:bookmarkStart w:id="72" w:name="_Toc26119"/>
      <w:bookmarkStart w:id="73" w:name="_Toc8590"/>
      <w:bookmarkStart w:id="74" w:name="_Toc20569"/>
      <w:bookmarkStart w:id="75" w:name="_Toc19050"/>
      <w:bookmarkStart w:id="76" w:name="_Toc3244"/>
      <w:r>
        <w:rPr>
          <w:rFonts w:hint="eastAsia" w:ascii="仿宋" w:hAnsi="仿宋" w:eastAsia="仿宋" w:cs="仿宋"/>
          <w:sz w:val="28"/>
          <w:szCs w:val="28"/>
        </w:rPr>
        <w:t>3.来源于设计单位的风险因素</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ind w:firstLine="640"/>
        <w:rPr>
          <w:rFonts w:hint="eastAsia" w:ascii="仿宋" w:hAnsi="仿宋" w:eastAsia="仿宋" w:cs="仿宋"/>
          <w:sz w:val="28"/>
          <w:szCs w:val="28"/>
        </w:rPr>
      </w:pPr>
      <w:r>
        <w:rPr>
          <w:rFonts w:hint="eastAsia" w:ascii="仿宋" w:hAnsi="仿宋" w:eastAsia="仿宋" w:cs="仿宋"/>
          <w:sz w:val="28"/>
          <w:szCs w:val="28"/>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施工中派驻设计代表，明确责任到位，参加防线、验槽、隐蔽工程验收、单项和总体工程验收等，负责现场解决设计技术问题。对设计变更，尽量提前实现，尽可能把设计变更控制在设计阶段初期，特别是对影响工程造价的重大设计变更，更要用先算账后变更的办法解决，使工程造价得到解决有效控制，同时保证施工进度。</w:t>
      </w:r>
    </w:p>
    <w:p>
      <w:pPr>
        <w:ind w:firstLine="640"/>
        <w:outlineLvl w:val="1"/>
        <w:rPr>
          <w:rFonts w:hint="eastAsia" w:ascii="仿宋" w:hAnsi="仿宋" w:eastAsia="仿宋" w:cs="仿宋"/>
          <w:sz w:val="28"/>
          <w:szCs w:val="28"/>
        </w:rPr>
      </w:pPr>
      <w:bookmarkStart w:id="77" w:name="_Toc14970"/>
      <w:bookmarkStart w:id="78" w:name="_Toc19097"/>
      <w:bookmarkStart w:id="79" w:name="_Toc3278"/>
      <w:bookmarkStart w:id="80" w:name="_Toc6452"/>
      <w:bookmarkStart w:id="81" w:name="_Toc533440376"/>
      <w:bookmarkStart w:id="82" w:name="_Toc523481583"/>
      <w:bookmarkStart w:id="83" w:name="_Toc522211119"/>
      <w:bookmarkStart w:id="84" w:name="_Toc4485"/>
      <w:bookmarkStart w:id="85" w:name="_Toc9854"/>
      <w:bookmarkStart w:id="86" w:name="_Toc20711"/>
      <w:bookmarkStart w:id="87" w:name="_Toc865"/>
      <w:bookmarkStart w:id="88" w:name="_Toc17546590"/>
      <w:bookmarkStart w:id="89" w:name="_Toc15109"/>
      <w:bookmarkStart w:id="90" w:name="_Toc24646"/>
      <w:bookmarkStart w:id="91" w:name="_Toc12405"/>
      <w:bookmarkStart w:id="92" w:name="_Toc10613"/>
      <w:bookmarkStart w:id="93" w:name="_Toc1719525"/>
      <w:bookmarkStart w:id="94" w:name="_Toc6360"/>
      <w:bookmarkStart w:id="95" w:name="_Toc17264"/>
      <w:r>
        <w:rPr>
          <w:rFonts w:hint="eastAsia" w:ascii="仿宋" w:hAnsi="仿宋" w:eastAsia="仿宋" w:cs="仿宋"/>
          <w:sz w:val="28"/>
          <w:szCs w:val="28"/>
        </w:rPr>
        <w:t>4.来源于供应商的风险因素</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pPr>
        <w:ind w:firstLine="640"/>
        <w:rPr>
          <w:rFonts w:hint="eastAsia" w:ascii="仿宋" w:hAnsi="仿宋" w:eastAsia="仿宋" w:cs="仿宋"/>
          <w:sz w:val="28"/>
          <w:szCs w:val="28"/>
        </w:rPr>
      </w:pPr>
      <w:r>
        <w:rPr>
          <w:rFonts w:hint="eastAsia" w:ascii="仿宋" w:hAnsi="仿宋" w:eastAsia="仿宋" w:cs="仿宋"/>
          <w:sz w:val="28"/>
          <w:szCs w:val="28"/>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pPr>
        <w:ind w:firstLine="640"/>
        <w:outlineLvl w:val="1"/>
        <w:rPr>
          <w:rFonts w:hint="eastAsia" w:ascii="仿宋" w:hAnsi="仿宋" w:eastAsia="仿宋" w:cs="仿宋"/>
          <w:sz w:val="28"/>
          <w:szCs w:val="28"/>
        </w:rPr>
      </w:pPr>
      <w:bookmarkStart w:id="96" w:name="_Toc533440377"/>
      <w:bookmarkStart w:id="97" w:name="_Toc15152"/>
      <w:bookmarkStart w:id="98" w:name="_Toc24695"/>
      <w:bookmarkStart w:id="99" w:name="_Toc30520"/>
      <w:bookmarkStart w:id="100" w:name="_Toc917"/>
      <w:bookmarkStart w:id="101" w:name="_Toc23826"/>
      <w:bookmarkStart w:id="102" w:name="_Toc14916"/>
      <w:bookmarkStart w:id="103" w:name="_Toc11220"/>
      <w:bookmarkStart w:id="104" w:name="_Toc522211120"/>
      <w:bookmarkStart w:id="105" w:name="_Toc1719526"/>
      <w:bookmarkStart w:id="106" w:name="_Toc17686"/>
      <w:bookmarkStart w:id="107" w:name="_Toc3246"/>
      <w:bookmarkStart w:id="108" w:name="_Toc523481584"/>
      <w:bookmarkStart w:id="109" w:name="_Toc24197"/>
      <w:bookmarkStart w:id="110" w:name="_Toc17546591"/>
      <w:bookmarkStart w:id="111" w:name="_Toc6631"/>
      <w:bookmarkStart w:id="112" w:name="_Toc19736"/>
      <w:bookmarkStart w:id="113" w:name="_Toc4257"/>
      <w:bookmarkStart w:id="114" w:name="_Toc17018"/>
      <w:r>
        <w:rPr>
          <w:rFonts w:hint="eastAsia" w:ascii="仿宋" w:hAnsi="仿宋" w:eastAsia="仿宋" w:cs="仿宋"/>
          <w:sz w:val="28"/>
          <w:szCs w:val="28"/>
        </w:rPr>
        <w:t>5.资金落实情况</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pPr>
        <w:ind w:firstLine="640"/>
        <w:rPr>
          <w:rFonts w:hint="eastAsia" w:ascii="仿宋" w:hAnsi="仿宋" w:eastAsia="仿宋" w:cs="仿宋"/>
          <w:sz w:val="28"/>
          <w:szCs w:val="28"/>
        </w:rPr>
      </w:pPr>
      <w:r>
        <w:rPr>
          <w:rFonts w:hint="eastAsia" w:ascii="仿宋" w:hAnsi="仿宋" w:eastAsia="仿宋" w:cs="仿宋"/>
          <w:sz w:val="28"/>
          <w:szCs w:val="28"/>
        </w:rPr>
        <w:t>风险识别：资金落实风险主要是因融资、拨款等环节的各种客、主观原因，资金不能及时到位，导致项目建设停工或拖延；或是利率变化导致融资成本升高而形成的。</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建议项目可以拓展各种融资渠道，准确把握国家宏观经济政策、国家及地方产业发展政策，充分利用有利条件，在其变化时及时调整策略。加强对项目的资金管理，落实建设资金，保证工程按期完工。</w:t>
      </w:r>
    </w:p>
    <w:p>
      <w:pPr>
        <w:ind w:firstLine="640"/>
        <w:outlineLvl w:val="1"/>
        <w:rPr>
          <w:rFonts w:hint="eastAsia" w:ascii="仿宋" w:hAnsi="仿宋" w:eastAsia="仿宋" w:cs="仿宋"/>
          <w:sz w:val="28"/>
          <w:szCs w:val="28"/>
        </w:rPr>
      </w:pPr>
      <w:bookmarkStart w:id="115" w:name="_Toc522211121"/>
      <w:bookmarkStart w:id="116" w:name="_Toc533440378"/>
      <w:bookmarkStart w:id="117" w:name="_Toc27123"/>
      <w:bookmarkStart w:id="118" w:name="_Toc3287"/>
      <w:bookmarkStart w:id="119" w:name="_Toc19503"/>
      <w:bookmarkStart w:id="120" w:name="_Toc29925"/>
      <w:bookmarkStart w:id="121" w:name="_Toc24179"/>
      <w:bookmarkStart w:id="122" w:name="_Toc1719527"/>
      <w:bookmarkStart w:id="123" w:name="_Toc25838"/>
      <w:bookmarkStart w:id="124" w:name="_Toc17546592"/>
      <w:bookmarkStart w:id="125" w:name="_Toc2256"/>
      <w:bookmarkStart w:id="126" w:name="_Toc32413"/>
      <w:bookmarkStart w:id="127" w:name="_Toc21427"/>
      <w:bookmarkStart w:id="128" w:name="_Toc16315"/>
      <w:bookmarkStart w:id="129" w:name="_Toc2792"/>
      <w:bookmarkStart w:id="130" w:name="_Toc11056"/>
      <w:bookmarkStart w:id="131" w:name="_Toc1406"/>
      <w:bookmarkStart w:id="132" w:name="_Toc21095"/>
      <w:bookmarkStart w:id="133" w:name="_Toc523481585"/>
      <w:r>
        <w:rPr>
          <w:rFonts w:hint="eastAsia" w:ascii="仿宋" w:hAnsi="仿宋" w:eastAsia="仿宋" w:cs="仿宋"/>
          <w:sz w:val="28"/>
          <w:szCs w:val="28"/>
        </w:rPr>
        <w:t>6.工程事故</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pPr>
        <w:ind w:firstLine="640"/>
        <w:rPr>
          <w:rFonts w:hint="eastAsia" w:ascii="仿宋" w:hAnsi="仿宋" w:eastAsia="仿宋" w:cs="仿宋"/>
          <w:sz w:val="28"/>
          <w:szCs w:val="28"/>
        </w:rPr>
      </w:pPr>
      <w:r>
        <w:rPr>
          <w:rFonts w:hint="eastAsia" w:ascii="仿宋" w:hAnsi="仿宋" w:eastAsia="仿宋" w:cs="仿宋"/>
          <w:sz w:val="28"/>
          <w:szCs w:val="28"/>
        </w:rPr>
        <w:t>风险识别：工程事故风险主要存在于施工过程中，施工中人的不安全行为、物的不安全状态、作业环境的不安全因素和管理缺陷是项目发生工程事故的主要原因，必须采取有针对性的控制措施。</w:t>
      </w:r>
    </w:p>
    <w:p>
      <w:pPr>
        <w:ind w:firstLine="640"/>
        <w:rPr>
          <w:rFonts w:hint="eastAsia" w:ascii="仿宋" w:hAnsi="仿宋" w:eastAsia="仿宋" w:cs="仿宋"/>
          <w:sz w:val="28"/>
          <w:szCs w:val="28"/>
        </w:rPr>
      </w:pPr>
      <w:r>
        <w:rPr>
          <w:rFonts w:hint="eastAsia" w:ascii="仿宋" w:hAnsi="仿宋" w:eastAsia="仿宋" w:cs="仿宋"/>
          <w:sz w:val="28"/>
          <w:szCs w:val="28"/>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p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七、还款保障情况</w:t>
      </w:r>
    </w:p>
    <w:p>
      <w:pPr>
        <w:ind w:firstLine="640"/>
        <w:rPr>
          <w:rFonts w:hint="eastAsia" w:ascii="仿宋" w:hAnsi="仿宋" w:eastAsia="仿宋" w:cs="仿宋"/>
          <w:sz w:val="28"/>
          <w:szCs w:val="28"/>
        </w:rPr>
      </w:pPr>
      <w:r>
        <w:rPr>
          <w:rFonts w:hint="eastAsia" w:ascii="仿宋" w:hAnsi="仿宋" w:eastAsia="仿宋" w:cs="仿宋"/>
          <w:sz w:val="28"/>
          <w:szCs w:val="28"/>
        </w:rPr>
        <w:t>按照《国务院办公厅关于印发地方政府性债务风险应急处置预案的通知》（国办函〔2016〕88号）规定，本级政府对地方政府债券依法承担全部偿还责任。</w:t>
      </w:r>
      <w:r>
        <w:rPr>
          <w:rFonts w:hint="eastAsia" w:ascii="仿宋" w:hAnsi="仿宋" w:eastAsia="仿宋" w:cs="仿宋"/>
          <w:sz w:val="28"/>
          <w:szCs w:val="28"/>
          <w:lang w:eastAsia="zh-CN"/>
        </w:rPr>
        <w:t>德阳市</w:t>
      </w:r>
      <w:r>
        <w:rPr>
          <w:rFonts w:hint="eastAsia" w:cs="仿宋"/>
          <w:sz w:val="28"/>
          <w:szCs w:val="28"/>
          <w:lang w:eastAsia="zh-CN"/>
        </w:rPr>
        <w:t>什邡市</w:t>
      </w:r>
      <w:r>
        <w:rPr>
          <w:rFonts w:hint="eastAsia" w:ascii="仿宋" w:hAnsi="仿宋" w:eastAsia="仿宋" w:cs="仿宋"/>
          <w:sz w:val="28"/>
          <w:szCs w:val="28"/>
        </w:rPr>
        <w:t>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pPr>
        <w:ind w:firstLine="640"/>
        <w:rPr>
          <w:rFonts w:hint="eastAsia" w:ascii="仿宋" w:hAnsi="仿宋" w:eastAsia="仿宋" w:cs="仿宋"/>
          <w:sz w:val="28"/>
          <w:szCs w:val="28"/>
        </w:rPr>
      </w:pPr>
      <w:r>
        <w:rPr>
          <w:rFonts w:hint="eastAsia" w:ascii="仿宋" w:hAnsi="仿宋" w:eastAsia="仿宋" w:cs="仿宋"/>
          <w:sz w:val="28"/>
          <w:szCs w:val="28"/>
        </w:rPr>
        <w:t>根据《中共中央办公厅、国务院办公厅关于做好地方政府专项债券发行及项目配套融资工作的通知》（厅字〔2019〕33号），组合使用专项债券和市场化融资的项目，项目收入实行分账管理。项目对应的政府性基金收入和用于偿还专项债券的专项收入及时足额缴入国库，纳入政府性基金预算管理，确保专项债券还本付息资金安全；项目单位依法对市场化融资承担全部偿还责任，在银行开立监管账户，将市场化融资资金以及项目对应可用于偿还市场化融资的专项收入，及时足额归集至监管账户，保障市场化融资到期偿付。若市场化融资偿还出现困难，项目业主应通过公司经营收入、处置公司资产等方式筹集资金偿还债务。</w:t>
      </w:r>
    </w:p>
    <w:p>
      <w:pPr>
        <w:ind w:firstLine="640"/>
        <w:rPr>
          <w:rFonts w:hint="eastAsia" w:ascii="仿宋" w:hAnsi="仿宋" w:eastAsia="仿宋" w:cs="仿宋"/>
          <w:sz w:val="28"/>
          <w:szCs w:val="28"/>
        </w:rPr>
      </w:pPr>
      <w:r>
        <w:rPr>
          <w:rFonts w:hint="eastAsia" w:ascii="仿宋" w:hAnsi="仿宋" w:eastAsia="仿宋" w:cs="仿宋"/>
          <w:sz w:val="28"/>
          <w:szCs w:val="28"/>
        </w:rPr>
        <w:t>项目业主依法对市场化融资承担全部偿还责任，在银行开立监管账户，将市场化融资资金以及项目对应可用于偿还市场化融资的专项收入，及时足额归集至监管账户，保障市场化融资到期偿付。如市场化融资偿债出现困难，可将市场化融资对应的资产权益进行保证担保、抵押担保或质押担保，以作为本项目的第二还款来源。</w:t>
      </w:r>
    </w:p>
    <w:p>
      <w:pPr>
        <w:ind w:firstLine="640"/>
        <w:rPr>
          <w:rFonts w:hint="eastAsia" w:ascii="仿宋" w:hAnsi="仿宋" w:eastAsia="仿宋" w:cs="仿宋"/>
          <w:sz w:val="28"/>
          <w:szCs w:val="28"/>
        </w:rPr>
      </w:pPr>
      <w:r>
        <w:rPr>
          <w:rFonts w:hint="eastAsia" w:ascii="仿宋" w:hAnsi="仿宋" w:eastAsia="仿宋" w:cs="仿宋"/>
          <w:sz w:val="28"/>
          <w:szCs w:val="28"/>
        </w:rPr>
        <w:t>本项目组合使用专项债券和市场化融资对应形成国有资产中，专项债券对应项目形成的国有资产，严格按照专项债券发行时约定的用途使用，本项目市场化融资的担保方式为信用担保。</w:t>
      </w:r>
    </w:p>
    <w:p>
      <w:p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八、主管部门职责</w:t>
      </w:r>
    </w:p>
    <w:p>
      <w:pPr>
        <w:ind w:firstLine="640"/>
        <w:rPr>
          <w:rFonts w:hint="eastAsia" w:ascii="仿宋" w:hAnsi="仿宋" w:eastAsia="仿宋" w:cs="仿宋"/>
          <w:sz w:val="28"/>
          <w:szCs w:val="28"/>
        </w:rPr>
      </w:pPr>
      <w:r>
        <w:rPr>
          <w:rFonts w:hint="eastAsia" w:ascii="仿宋" w:hAnsi="仿宋" w:eastAsia="仿宋" w:cs="仿宋"/>
          <w:sz w:val="28"/>
          <w:szCs w:val="28"/>
        </w:rPr>
        <w:t>本项目主管部门为</w:t>
      </w:r>
      <w:r>
        <w:rPr>
          <w:rFonts w:hint="eastAsia" w:cs="仿宋"/>
          <w:sz w:val="28"/>
          <w:szCs w:val="28"/>
          <w:lang w:eastAsia="zh-CN"/>
        </w:rPr>
        <w:t>什邡市交通运输局</w:t>
      </w:r>
      <w:r>
        <w:rPr>
          <w:rFonts w:hint="eastAsia" w:ascii="仿宋" w:hAnsi="仿宋" w:eastAsia="仿宋" w:cs="仿宋"/>
          <w:sz w:val="28"/>
          <w:szCs w:val="28"/>
        </w:rPr>
        <w:t>，职责为负责对本部门专项债券项目审核把关。负责督促项目实施主体及时规范使用债券资金；负责对本行业专项债券项目建设运营情况进行监督检查；负责督促项目实施主体做好项目收入管理，将专项债券项目对应的政府性基金收入和专项收入在扣除运营成本后及时缴入归集账户，保障专项债券还本付息</w:t>
      </w:r>
      <w:r>
        <w:rPr>
          <w:rFonts w:hint="eastAsia" w:cs="仿宋"/>
          <w:sz w:val="28"/>
          <w:szCs w:val="28"/>
          <w:lang w:eastAsia="zh-CN"/>
        </w:rPr>
        <w:t>。</w:t>
      </w:r>
      <w:r>
        <w:rPr>
          <w:rFonts w:hint="eastAsia" w:ascii="仿宋" w:hAnsi="仿宋" w:eastAsia="仿宋" w:cs="仿宋"/>
          <w:sz w:val="28"/>
          <w:szCs w:val="28"/>
        </w:rPr>
        <w:t>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pPr>
        <w:ind w:firstLine="640"/>
        <w:rPr>
          <w:rFonts w:hint="eastAsia" w:ascii="仿宋" w:hAnsi="仿宋" w:eastAsia="仿宋" w:cs="仿宋"/>
          <w:sz w:val="28"/>
          <w:szCs w:val="28"/>
        </w:rPr>
      </w:pPr>
      <w:r>
        <w:rPr>
          <w:rFonts w:hint="eastAsia" w:ascii="仿宋" w:hAnsi="仿宋" w:eastAsia="仿宋" w:cs="仿宋"/>
          <w:sz w:val="28"/>
          <w:szCs w:val="28"/>
        </w:rPr>
        <w:t>2、项目单位职责</w:t>
      </w:r>
    </w:p>
    <w:p>
      <w:pPr>
        <w:ind w:firstLine="640"/>
        <w:rPr>
          <w:rFonts w:hint="eastAsia" w:ascii="仿宋" w:hAnsi="仿宋" w:eastAsia="仿宋" w:cs="仿宋"/>
          <w:sz w:val="28"/>
          <w:szCs w:val="28"/>
        </w:rPr>
      </w:pPr>
      <w:r>
        <w:rPr>
          <w:rFonts w:hint="eastAsia" w:ascii="仿宋" w:hAnsi="仿宋" w:eastAsia="仿宋" w:cs="仿宋"/>
          <w:sz w:val="28"/>
          <w:szCs w:val="28"/>
        </w:rPr>
        <w:t>本项目的项目单位为</w:t>
      </w:r>
      <w:r>
        <w:rPr>
          <w:rFonts w:hint="eastAsia" w:cs="仿宋"/>
          <w:sz w:val="28"/>
          <w:szCs w:val="28"/>
          <w:lang w:eastAsia="zh-CN"/>
        </w:rPr>
        <w:t>什邡市恒基建设投资发展有限公司</w:t>
      </w:r>
      <w:r>
        <w:rPr>
          <w:rFonts w:hint="eastAsia" w:ascii="仿宋" w:hAnsi="仿宋" w:eastAsia="仿宋" w:cs="仿宋"/>
          <w:sz w:val="28"/>
          <w:szCs w:val="28"/>
        </w:rPr>
        <w:t>，职责为负责提出本项目需求申请，编制报送项目实施方案及相关资料，配合做好债券发行准备。负责编制专项债券收支、偿还计划并纳入单位年度预算管理；负责将专项债券项目对应的政府性基金收入和专项收入在扣除运营成本后及时足额缴入归集账户，确保及时足额还本付息。规范使用债券资金，及时形成支出，提高资金使用效益。定期评估项目成本、预期收益和对应资产价值等，发现风险或异常情况及时向主管部门报告。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pPr>
        <w:numPr>
          <w:ilvl w:val="0"/>
          <w:numId w:val="2"/>
        </w:numPr>
        <w:spacing w:before="240" w:after="120"/>
        <w:ind w:firstLine="643"/>
        <w:outlineLvl w:val="0"/>
        <w:rPr>
          <w:rFonts w:hint="eastAsia" w:ascii="仿宋" w:hAnsi="仿宋" w:eastAsia="仿宋" w:cs="仿宋"/>
          <w:b/>
          <w:bCs/>
          <w:sz w:val="28"/>
          <w:szCs w:val="28"/>
        </w:rPr>
      </w:pPr>
      <w:r>
        <w:rPr>
          <w:rFonts w:hint="eastAsia" w:ascii="仿宋" w:hAnsi="仿宋" w:eastAsia="仿宋" w:cs="仿宋"/>
          <w:b/>
          <w:bCs/>
          <w:sz w:val="28"/>
          <w:szCs w:val="28"/>
        </w:rPr>
        <w:t>补充说明</w:t>
      </w:r>
    </w:p>
    <w:p>
      <w:pPr>
        <w:ind w:firstLine="640"/>
        <w:rPr>
          <w:rFonts w:hint="eastAsia" w:ascii="仿宋" w:hAnsi="仿宋" w:eastAsia="仿宋" w:cs="仿宋"/>
          <w:sz w:val="28"/>
          <w:szCs w:val="28"/>
        </w:rPr>
      </w:pPr>
      <w:r>
        <w:rPr>
          <w:rFonts w:hint="eastAsia" w:ascii="仿宋" w:hAnsi="仿宋" w:eastAsia="仿宋" w:cs="仿宋"/>
          <w:sz w:val="28"/>
          <w:szCs w:val="28"/>
          <w:highlight w:val="none"/>
        </w:rPr>
        <w:t>此项目债券资金总需求50000.00万元，根据地方政府债务限额管理要求和项目实施进展情况，2020年-202</w:t>
      </w:r>
      <w:r>
        <w:rPr>
          <w:rFonts w:hint="eastAsia" w:cs="仿宋"/>
          <w:sz w:val="28"/>
          <w:szCs w:val="28"/>
          <w:highlight w:val="none"/>
          <w:lang w:val="en-US" w:eastAsia="zh-CN"/>
        </w:rPr>
        <w:t>5</w:t>
      </w:r>
      <w:r>
        <w:rPr>
          <w:rFonts w:hint="eastAsia" w:ascii="仿宋" w:hAnsi="仿宋" w:eastAsia="仿宋" w:cs="仿宋"/>
          <w:sz w:val="28"/>
          <w:szCs w:val="28"/>
          <w:highlight w:val="none"/>
        </w:rPr>
        <w:t>年已发行</w:t>
      </w:r>
      <w:r>
        <w:rPr>
          <w:rFonts w:hint="eastAsia" w:cs="仿宋"/>
          <w:sz w:val="28"/>
          <w:szCs w:val="28"/>
          <w:highlight w:val="none"/>
          <w:lang w:val="en-US" w:eastAsia="zh-CN"/>
        </w:rPr>
        <w:t>420</w:t>
      </w:r>
      <w:r>
        <w:rPr>
          <w:rFonts w:hint="eastAsia" w:ascii="仿宋" w:hAnsi="仿宋" w:eastAsia="仿宋" w:cs="仿宋"/>
          <w:sz w:val="28"/>
          <w:szCs w:val="28"/>
          <w:highlight w:val="none"/>
        </w:rPr>
        <w:t>00.00万元。本次拟继续发行</w:t>
      </w:r>
      <w:r>
        <w:rPr>
          <w:rFonts w:hint="eastAsia" w:cs="仿宋"/>
          <w:sz w:val="28"/>
          <w:szCs w:val="28"/>
          <w:highlight w:val="none"/>
          <w:lang w:val="en-US" w:eastAsia="zh-CN"/>
        </w:rPr>
        <w:t>6108</w:t>
      </w:r>
      <w:r>
        <w:rPr>
          <w:rFonts w:hint="eastAsia" w:ascii="仿宋" w:hAnsi="仿宋" w:eastAsia="仿宋" w:cs="仿宋"/>
          <w:sz w:val="28"/>
          <w:szCs w:val="28"/>
          <w:highlight w:val="none"/>
        </w:rPr>
        <w:t>.00万元，期限15年。该项目实施内容及收益来源未发生变动，在不超过项目债</w:t>
      </w:r>
      <w:r>
        <w:rPr>
          <w:rFonts w:hint="eastAsia" w:ascii="仿宋" w:hAnsi="仿宋" w:eastAsia="仿宋" w:cs="仿宋"/>
          <w:sz w:val="28"/>
          <w:szCs w:val="28"/>
        </w:rPr>
        <w:t>券总需求情况下，债券分批次跨年发行对项目整体融资平衡不构成实质影响。</w:t>
      </w:r>
    </w:p>
    <w:p>
      <w:pPr>
        <w:pStyle w:val="2"/>
        <w:rPr>
          <w:rFonts w:hint="eastAsia"/>
        </w:rPr>
      </w:pPr>
    </w:p>
    <w:sectPr>
      <w:pgSz w:w="11906" w:h="16838"/>
      <w:pgMar w:top="2098" w:right="1418" w:bottom="1588" w:left="1644" w:header="851" w:footer="992" w:gutter="0"/>
      <w:pgNumType w:fmt="numberInDash"/>
      <w:cols w:space="720" w:num="1"/>
      <w:docGrid w:type="lines" w:linePitch="435" w:charSpace="0"/>
    </w:sectPr>
  </w:body>
</w:document>
</file>

<file path=word/customizations.xml><?xml version="1.0" encoding="utf-8"?>
<wne:tcg xmlns:r="http://schemas.openxmlformats.org/officeDocument/2006/relationships" xmlns:wne="http://schemas.microsoft.com/office/word/2006/wordml">
  <wne:keymaps>
    <wne:keymap wne:kcmPrimary="065A">
      <wne:acd wne:acdName="acd0"/>
    </wne:keymap>
  </wne:keymap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Neue">
    <w:altName w:val="微软雅黑"/>
    <w:panose1 w:val="00000000000000000000"/>
    <w:charset w:val="00"/>
    <w:family w:val="auto"/>
    <w:pitch w:val="default"/>
    <w:sig w:usb0="00000000" w:usb1="00000000" w:usb2="00000010" w:usb3="00000000" w:csb0="00000001" w:csb1="00000000"/>
  </w:font>
  <w:font w:name="Arial Unicode MS">
    <w:panose1 w:val="020B0604020202020204"/>
    <w:charset w:val="86"/>
    <w:family w:val="swiss"/>
    <w:pitch w:val="default"/>
    <w:sig w:usb0="FFFFFFFF" w:usb1="E9FFFFFF" w:usb2="0000003F" w:usb3="00000000" w:csb0="603F01FF" w:csb1="FFFF0000"/>
  </w:font>
  <w:font w:name="宋体 (正文)">
    <w:altName w:val="宋体"/>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9"/>
      <w:numFmt w:val="chineseCounting"/>
      <w:suff w:val="nothing"/>
      <w:lvlText w:val="%1、"/>
      <w:lvlJc w:val="left"/>
    </w:lvl>
  </w:abstractNum>
  <w:abstractNum w:abstractNumId="1">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7"/>
      <w:suff w:val="nothing"/>
      <w:lvlText w:val="（%4）"/>
      <w:lvlJc w:val="left"/>
      <w:pPr>
        <w:ind w:left="0" w:firstLine="402"/>
      </w:pPr>
      <w:rPr>
        <w:rFonts w:hint="eastAsia"/>
      </w:rPr>
    </w:lvl>
    <w:lvl w:ilvl="4" w:tentative="0">
      <w:start w:val="1"/>
      <w:numFmt w:val="decimalEnclosedCircleChinese"/>
      <w:pStyle w:val="8"/>
      <w:suff w:val="nothing"/>
      <w:lvlText w:val="%5"/>
      <w:lvlJc w:val="left"/>
      <w:pPr>
        <w:ind w:left="0" w:firstLine="402"/>
      </w:pPr>
      <w:rPr>
        <w:rFonts w:hint="eastAsia"/>
      </w:rPr>
    </w:lvl>
    <w:lvl w:ilvl="5" w:tentative="0">
      <w:start w:val="1"/>
      <w:numFmt w:val="decimal"/>
      <w:pStyle w:val="9"/>
      <w:suff w:val="nothing"/>
      <w:lvlText w:val="%6）"/>
      <w:lvlJc w:val="left"/>
      <w:pPr>
        <w:ind w:left="0" w:firstLine="402"/>
      </w:pPr>
      <w:rPr>
        <w:rFonts w:hint="eastAsia"/>
      </w:rPr>
    </w:lvl>
    <w:lvl w:ilvl="6" w:tentative="0">
      <w:start w:val="1"/>
      <w:numFmt w:val="lowerLetter"/>
      <w:pStyle w:val="10"/>
      <w:suff w:val="nothing"/>
      <w:lvlText w:val="%7．"/>
      <w:lvlJc w:val="left"/>
      <w:pPr>
        <w:ind w:left="0" w:firstLine="402"/>
      </w:pPr>
      <w:rPr>
        <w:rFonts w:hint="eastAsia"/>
      </w:rPr>
    </w:lvl>
    <w:lvl w:ilvl="7" w:tentative="0">
      <w:start w:val="1"/>
      <w:numFmt w:val="lowerLetter"/>
      <w:pStyle w:val="11"/>
      <w:suff w:val="nothing"/>
      <w:lvlText w:val="%8）"/>
      <w:lvlJc w:val="left"/>
      <w:pPr>
        <w:ind w:left="0" w:firstLine="402"/>
      </w:pPr>
      <w:rPr>
        <w:rFonts w:hint="eastAsia"/>
      </w:rPr>
    </w:lvl>
    <w:lvl w:ilvl="8" w:tentative="0">
      <w:start w:val="1"/>
      <w:numFmt w:val="lowerRoman"/>
      <w:pStyle w:val="12"/>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MjNhMWFlYjNkMmU2ZTQwMTNjNzIxNmJkNDA3ZDIifQ=="/>
    <w:docVar w:name="KSO_WPS_MARK_KEY" w:val="aa4b5877-e2f9-45ee-a444-6ac3b21d0890"/>
  </w:docVars>
  <w:rsids>
    <w:rsidRoot w:val="00172A27"/>
    <w:rsid w:val="000D34BB"/>
    <w:rsid w:val="00172A27"/>
    <w:rsid w:val="002D1099"/>
    <w:rsid w:val="006C5A2F"/>
    <w:rsid w:val="008113F1"/>
    <w:rsid w:val="008B7CF0"/>
    <w:rsid w:val="00914361"/>
    <w:rsid w:val="00F02F21"/>
    <w:rsid w:val="00F3407F"/>
    <w:rsid w:val="013C30B7"/>
    <w:rsid w:val="01A57F36"/>
    <w:rsid w:val="020B183D"/>
    <w:rsid w:val="033A6569"/>
    <w:rsid w:val="03DA4097"/>
    <w:rsid w:val="04500383"/>
    <w:rsid w:val="06766115"/>
    <w:rsid w:val="076569CD"/>
    <w:rsid w:val="08122664"/>
    <w:rsid w:val="08B070E4"/>
    <w:rsid w:val="092A5646"/>
    <w:rsid w:val="09693B96"/>
    <w:rsid w:val="0A17403E"/>
    <w:rsid w:val="0B032BA3"/>
    <w:rsid w:val="0BD274A5"/>
    <w:rsid w:val="0E0042AD"/>
    <w:rsid w:val="0E664872"/>
    <w:rsid w:val="0EEC63DE"/>
    <w:rsid w:val="105D4C8E"/>
    <w:rsid w:val="118738E3"/>
    <w:rsid w:val="11C64AC9"/>
    <w:rsid w:val="11D03B9B"/>
    <w:rsid w:val="13712EB0"/>
    <w:rsid w:val="13B36581"/>
    <w:rsid w:val="13EF32B1"/>
    <w:rsid w:val="15B6242D"/>
    <w:rsid w:val="176C2BB7"/>
    <w:rsid w:val="1915445F"/>
    <w:rsid w:val="1AA75230"/>
    <w:rsid w:val="1BB3241F"/>
    <w:rsid w:val="1DD443CA"/>
    <w:rsid w:val="1DEF2178"/>
    <w:rsid w:val="1FDB7DB2"/>
    <w:rsid w:val="22FF7A35"/>
    <w:rsid w:val="242C2DF9"/>
    <w:rsid w:val="25012038"/>
    <w:rsid w:val="25BA38DC"/>
    <w:rsid w:val="25E75E13"/>
    <w:rsid w:val="26081591"/>
    <w:rsid w:val="2625355A"/>
    <w:rsid w:val="287076C4"/>
    <w:rsid w:val="293F224C"/>
    <w:rsid w:val="29655B76"/>
    <w:rsid w:val="29885326"/>
    <w:rsid w:val="29BD454B"/>
    <w:rsid w:val="2A1B3316"/>
    <w:rsid w:val="2BF15CE4"/>
    <w:rsid w:val="2CA8687E"/>
    <w:rsid w:val="2D2836D6"/>
    <w:rsid w:val="2ECB2EFB"/>
    <w:rsid w:val="2F332A8F"/>
    <w:rsid w:val="3017073F"/>
    <w:rsid w:val="309E3D25"/>
    <w:rsid w:val="30DB4718"/>
    <w:rsid w:val="3144344A"/>
    <w:rsid w:val="32F862B4"/>
    <w:rsid w:val="339D76E7"/>
    <w:rsid w:val="34B17351"/>
    <w:rsid w:val="357238F7"/>
    <w:rsid w:val="36B47206"/>
    <w:rsid w:val="381A1632"/>
    <w:rsid w:val="38C22508"/>
    <w:rsid w:val="390B643E"/>
    <w:rsid w:val="393D1514"/>
    <w:rsid w:val="39D72345"/>
    <w:rsid w:val="3A0C2CBB"/>
    <w:rsid w:val="3A2105C2"/>
    <w:rsid w:val="3AB07FCD"/>
    <w:rsid w:val="3C3C57EA"/>
    <w:rsid w:val="3C8F3AAB"/>
    <w:rsid w:val="3D7B1B13"/>
    <w:rsid w:val="3D9B595E"/>
    <w:rsid w:val="3F297ADD"/>
    <w:rsid w:val="3FE41F12"/>
    <w:rsid w:val="42B753BE"/>
    <w:rsid w:val="430D1C8A"/>
    <w:rsid w:val="43980DB3"/>
    <w:rsid w:val="44AF6B13"/>
    <w:rsid w:val="464C48A9"/>
    <w:rsid w:val="47653A42"/>
    <w:rsid w:val="47C6684B"/>
    <w:rsid w:val="48C3324F"/>
    <w:rsid w:val="49E51B21"/>
    <w:rsid w:val="4A994EE3"/>
    <w:rsid w:val="4B94424A"/>
    <w:rsid w:val="4BB501E6"/>
    <w:rsid w:val="4BB7159E"/>
    <w:rsid w:val="4C0E74D6"/>
    <w:rsid w:val="4C1662EE"/>
    <w:rsid w:val="4C5D11DF"/>
    <w:rsid w:val="4DEE1375"/>
    <w:rsid w:val="4F3A188D"/>
    <w:rsid w:val="4FAE3E40"/>
    <w:rsid w:val="4FE3537B"/>
    <w:rsid w:val="50E3635C"/>
    <w:rsid w:val="510475F3"/>
    <w:rsid w:val="51714D0B"/>
    <w:rsid w:val="51AB250E"/>
    <w:rsid w:val="52AA0445"/>
    <w:rsid w:val="55E2376A"/>
    <w:rsid w:val="55F16B82"/>
    <w:rsid w:val="577446E9"/>
    <w:rsid w:val="57B94B8F"/>
    <w:rsid w:val="57E32249"/>
    <w:rsid w:val="58414118"/>
    <w:rsid w:val="5AC52BAD"/>
    <w:rsid w:val="5AD54B55"/>
    <w:rsid w:val="5CD207B0"/>
    <w:rsid w:val="5D121B72"/>
    <w:rsid w:val="5D941A1D"/>
    <w:rsid w:val="5F033932"/>
    <w:rsid w:val="61271BBA"/>
    <w:rsid w:val="629C2BE7"/>
    <w:rsid w:val="63CC759F"/>
    <w:rsid w:val="65417804"/>
    <w:rsid w:val="66060C05"/>
    <w:rsid w:val="665F3E6D"/>
    <w:rsid w:val="66C232DD"/>
    <w:rsid w:val="66F4651A"/>
    <w:rsid w:val="66FD0891"/>
    <w:rsid w:val="67DD3F80"/>
    <w:rsid w:val="68180706"/>
    <w:rsid w:val="683E54BC"/>
    <w:rsid w:val="6A26501D"/>
    <w:rsid w:val="6A7E6E7B"/>
    <w:rsid w:val="6BB30CF6"/>
    <w:rsid w:val="6C382AE1"/>
    <w:rsid w:val="6C8A1C80"/>
    <w:rsid w:val="6DDE2AF6"/>
    <w:rsid w:val="6E1813C4"/>
    <w:rsid w:val="6E55356F"/>
    <w:rsid w:val="6F314AB7"/>
    <w:rsid w:val="6F483BF4"/>
    <w:rsid w:val="70265F46"/>
    <w:rsid w:val="703640B3"/>
    <w:rsid w:val="7051605B"/>
    <w:rsid w:val="7088025C"/>
    <w:rsid w:val="70B86135"/>
    <w:rsid w:val="7406244E"/>
    <w:rsid w:val="74AC40FE"/>
    <w:rsid w:val="75110D85"/>
    <w:rsid w:val="759E3B4B"/>
    <w:rsid w:val="763804AD"/>
    <w:rsid w:val="77031528"/>
    <w:rsid w:val="774772DB"/>
    <w:rsid w:val="77E94330"/>
    <w:rsid w:val="7831551C"/>
    <w:rsid w:val="78D73763"/>
    <w:rsid w:val="794E06BE"/>
    <w:rsid w:val="79EF0252"/>
    <w:rsid w:val="7B111800"/>
    <w:rsid w:val="7B120345"/>
    <w:rsid w:val="7B982BE8"/>
    <w:rsid w:val="7BBE38CE"/>
    <w:rsid w:val="7C3F5FBA"/>
    <w:rsid w:val="7CFF4D43"/>
    <w:rsid w:val="7D381B0F"/>
    <w:rsid w:val="7E2D1F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 w:hAnsi="仿宋" w:eastAsia="仿宋" w:cstheme="minorBidi"/>
      <w:kern w:val="2"/>
      <w:sz w:val="32"/>
      <w:szCs w:val="22"/>
      <w:lang w:val="en-US" w:eastAsia="zh-CN" w:bidi="ar-SA"/>
    </w:rPr>
  </w:style>
  <w:style w:type="paragraph" w:styleId="4">
    <w:name w:val="heading 1"/>
    <w:basedOn w:val="1"/>
    <w:next w:val="1"/>
    <w:link w:val="23"/>
    <w:qFormat/>
    <w:uiPriority w:val="0"/>
    <w:pPr>
      <w:spacing w:beforeLines="100" w:line="480" w:lineRule="auto"/>
      <w:ind w:firstLine="0" w:firstLineChars="0"/>
      <w:outlineLvl w:val="0"/>
    </w:pPr>
    <w:rPr>
      <w:rFonts w:eastAsia="宋体"/>
      <w:b/>
      <w:bCs/>
      <w:sz w:val="40"/>
      <w:szCs w:val="32"/>
    </w:rPr>
  </w:style>
  <w:style w:type="paragraph" w:styleId="5">
    <w:name w:val="heading 2"/>
    <w:basedOn w:val="1"/>
    <w:next w:val="1"/>
    <w:link w:val="22"/>
    <w:unhideWhenUsed/>
    <w:qFormat/>
    <w:uiPriority w:val="0"/>
    <w:pPr>
      <w:adjustRightInd w:val="0"/>
      <w:snapToGrid w:val="0"/>
      <w:spacing w:beforeLines="88" w:afterLines="88"/>
      <w:ind w:firstLine="0" w:firstLineChars="0"/>
      <w:outlineLvl w:val="1"/>
    </w:pPr>
    <w:rPr>
      <w:rFonts w:eastAsia="宋体" w:cs="Times New Roman" w:asciiTheme="minorHAnsi" w:hAnsiTheme="minorHAnsi"/>
      <w:b/>
      <w:sz w:val="36"/>
      <w:szCs w:val="20"/>
      <w:lang w:val="en-GB"/>
    </w:rPr>
  </w:style>
  <w:style w:type="paragraph" w:styleId="6">
    <w:name w:val="heading 3"/>
    <w:basedOn w:val="1"/>
    <w:next w:val="1"/>
    <w:link w:val="21"/>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7">
    <w:name w:val="heading 4"/>
    <w:basedOn w:val="1"/>
    <w:next w:val="1"/>
    <w:unhideWhenUsed/>
    <w:qFormat/>
    <w:uiPriority w:val="0"/>
    <w:pPr>
      <w:keepNext/>
      <w:keepLines/>
      <w:numPr>
        <w:ilvl w:val="3"/>
        <w:numId w:val="1"/>
      </w:numPr>
      <w:spacing w:line="372" w:lineRule="auto"/>
      <w:outlineLvl w:val="3"/>
    </w:pPr>
    <w:rPr>
      <w:rFonts w:ascii="Arial" w:hAnsi="Arial" w:eastAsia="黑体"/>
      <w:b/>
      <w:sz w:val="28"/>
    </w:rPr>
  </w:style>
  <w:style w:type="paragraph" w:styleId="8">
    <w:name w:val="heading 5"/>
    <w:basedOn w:val="1"/>
    <w:next w:val="1"/>
    <w:unhideWhenUsed/>
    <w:qFormat/>
    <w:uiPriority w:val="0"/>
    <w:pPr>
      <w:keepNext/>
      <w:keepLines/>
      <w:numPr>
        <w:ilvl w:val="4"/>
        <w:numId w:val="1"/>
      </w:numPr>
      <w:spacing w:line="372" w:lineRule="auto"/>
      <w:outlineLvl w:val="4"/>
    </w:pPr>
    <w:rPr>
      <w:b/>
      <w:sz w:val="28"/>
    </w:rPr>
  </w:style>
  <w:style w:type="paragraph" w:styleId="9">
    <w:name w:val="heading 6"/>
    <w:basedOn w:val="1"/>
    <w:next w:val="1"/>
    <w:unhideWhenUsed/>
    <w:qFormat/>
    <w:uiPriority w:val="0"/>
    <w:pPr>
      <w:keepNext/>
      <w:keepLines/>
      <w:numPr>
        <w:ilvl w:val="5"/>
        <w:numId w:val="1"/>
      </w:numPr>
      <w:spacing w:line="317" w:lineRule="auto"/>
      <w:outlineLvl w:val="5"/>
    </w:pPr>
    <w:rPr>
      <w:rFonts w:ascii="Arial" w:hAnsi="Arial" w:eastAsia="黑体"/>
      <w:b/>
      <w:sz w:val="24"/>
    </w:rPr>
  </w:style>
  <w:style w:type="paragraph" w:styleId="10">
    <w:name w:val="heading 7"/>
    <w:basedOn w:val="1"/>
    <w:next w:val="1"/>
    <w:unhideWhenUsed/>
    <w:qFormat/>
    <w:uiPriority w:val="0"/>
    <w:pPr>
      <w:keepNext/>
      <w:keepLines/>
      <w:numPr>
        <w:ilvl w:val="6"/>
        <w:numId w:val="1"/>
      </w:numPr>
      <w:spacing w:line="317" w:lineRule="auto"/>
      <w:outlineLvl w:val="6"/>
    </w:pPr>
    <w:rPr>
      <w:b/>
      <w:sz w:val="24"/>
    </w:rPr>
  </w:style>
  <w:style w:type="paragraph" w:styleId="11">
    <w:name w:val="heading 8"/>
    <w:basedOn w:val="1"/>
    <w:next w:val="1"/>
    <w:unhideWhenUsed/>
    <w:qFormat/>
    <w:uiPriority w:val="0"/>
    <w:pPr>
      <w:keepNext/>
      <w:keepLines/>
      <w:numPr>
        <w:ilvl w:val="7"/>
        <w:numId w:val="1"/>
      </w:numPr>
      <w:spacing w:line="317" w:lineRule="auto"/>
      <w:outlineLvl w:val="7"/>
    </w:pPr>
    <w:rPr>
      <w:rFonts w:ascii="Arial" w:hAnsi="Arial" w:eastAsia="黑体"/>
      <w:sz w:val="24"/>
    </w:rPr>
  </w:style>
  <w:style w:type="paragraph" w:styleId="12">
    <w:name w:val="heading 9"/>
    <w:basedOn w:val="1"/>
    <w:next w:val="1"/>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ind w:firstLine="567"/>
    </w:pPr>
    <w:rPr>
      <w:rFonts w:ascii="宋体" w:hAnsi="宋体" w:eastAsia="宋体"/>
      <w:color w:val="000000"/>
      <w:u w:color="000000"/>
    </w:rPr>
  </w:style>
  <w:style w:type="paragraph" w:styleId="3">
    <w:name w:val="toc 1"/>
    <w:basedOn w:val="1"/>
    <w:next w:val="1"/>
    <w:qFormat/>
    <w:uiPriority w:val="0"/>
    <w:pPr>
      <w:adjustRightInd w:val="0"/>
      <w:snapToGrid w:val="0"/>
      <w:spacing w:before="120" w:line="288" w:lineRule="auto"/>
      <w:ind w:left="113" w:firstLine="0" w:firstLineChars="0"/>
      <w:jc w:val="left"/>
    </w:pPr>
    <w:rPr>
      <w:rFonts w:ascii="Arial" w:hAnsi="Arial"/>
      <w:bCs/>
      <w:iCs/>
      <w:sz w:val="28"/>
    </w:rPr>
  </w:style>
  <w:style w:type="paragraph" w:styleId="13">
    <w:name w:val="annotation text"/>
    <w:basedOn w:val="1"/>
    <w:qFormat/>
    <w:uiPriority w:val="0"/>
    <w:pPr>
      <w:jc w:val="left"/>
    </w:pPr>
  </w:style>
  <w:style w:type="paragraph" w:styleId="14">
    <w:name w:val="Body Text Indent"/>
    <w:basedOn w:val="1"/>
    <w:qFormat/>
    <w:uiPriority w:val="0"/>
    <w:pPr>
      <w:ind w:left="420" w:leftChars="200"/>
    </w:pPr>
  </w:style>
  <w:style w:type="paragraph" w:styleId="15">
    <w:name w:val="footer"/>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6">
    <w:name w:val="header"/>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7">
    <w:name w:val="Body Text First Indent 2"/>
    <w:basedOn w:val="14"/>
    <w:next w:val="1"/>
    <w:qFormat/>
    <w:uiPriority w:val="0"/>
    <w:pPr>
      <w:ind w:firstLine="42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标题 3 Char"/>
    <w:link w:val="6"/>
    <w:qFormat/>
    <w:uiPriority w:val="9"/>
    <w:rPr>
      <w:rFonts w:ascii="宋体" w:hAnsi="宋体" w:eastAsia="宋体" w:cs="Times New Roman"/>
      <w:b/>
      <w:szCs w:val="32"/>
    </w:rPr>
  </w:style>
  <w:style w:type="character" w:customStyle="1" w:styleId="22">
    <w:name w:val="标题 2 Char"/>
    <w:link w:val="5"/>
    <w:qFormat/>
    <w:uiPriority w:val="9"/>
    <w:rPr>
      <w:rFonts w:eastAsia="宋体" w:cs="Times New Roman" w:asciiTheme="minorHAnsi" w:hAnsiTheme="minorHAnsi"/>
      <w:b/>
      <w:sz w:val="36"/>
      <w:szCs w:val="20"/>
      <w:lang w:val="en-GB"/>
    </w:rPr>
  </w:style>
  <w:style w:type="character" w:customStyle="1" w:styleId="23">
    <w:name w:val="标题 1 Char"/>
    <w:link w:val="4"/>
    <w:qFormat/>
    <w:uiPriority w:val="9"/>
    <w:rPr>
      <w:rFonts w:ascii="仿宋" w:hAnsi="仿宋" w:eastAsia="宋体" w:cs="仿宋"/>
      <w:b/>
      <w:bCs/>
      <w:kern w:val="44"/>
      <w:sz w:val="40"/>
      <w:szCs w:val="44"/>
      <w:lang w:val="zh-CN" w:bidi="zh-CN"/>
    </w:rPr>
  </w:style>
  <w:style w:type="paragraph" w:customStyle="1" w:styleId="24">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5">
    <w:name w:val="页眉与页脚 B"/>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6896</Words>
  <Characters>7334</Characters>
  <Lines>31</Lines>
  <Paragraphs>22</Paragraphs>
  <TotalTime>84</TotalTime>
  <ScaleCrop>false</ScaleCrop>
  <LinksUpToDate>false</LinksUpToDate>
  <CharactersWithSpaces>7336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2019-12-06T07:59:00Z</dcterms:created>
  <dc:creator>对天爱</dc:creator>
  <cp:lastModifiedBy>Bigman</cp:lastModifiedBy>
  <cp:lastPrinted>2021-10-20T01:30:00Z</cp:lastPrinted>
  <dcterms:modified xsi:type="dcterms:W3CDTF">2025-12-17T03:05:31Z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B29FFD27730D40838685F965759FD26A_13</vt:lpwstr>
  </property>
  <property fmtid="{D5CDD505-2E9C-101B-9397-08002B2CF9AE}" pid="4" name="KSOTemplateDocerSaveRecord">
    <vt:lpwstr>eyJoZGlkIjoiYmMyNGY4YjNjMTkzZWYyMTgwY2M0YzliZmZhYTQ2ZWEiLCJ1c2VySWQiOiI2ODM1MzU5NzgifQ==</vt:lpwstr>
  </property>
</Properties>
</file>